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ody>
    <w:p w14:paraId="385FBACB" w14:textId="7BA7C137" w:rsidR="00B537D8" w:rsidRPr="00F9697A" w:rsidRDefault="002B7103" w:rsidP="00E549E9">
      <w:pPr>
        <w:pStyle w:val="berschrift1"/>
      </w:pPr>
      <w:proofErr w:type="spellStart"/>
      <w:r>
        <w:t>DigiDocs</w:t>
      </w:r>
      <w:proofErr w:type="spellEnd"/>
      <w:r>
        <w:t>-Studie liefert erste Trends</w:t>
      </w:r>
    </w:p>
    <w:p w14:paraId="4B8DD257" w14:textId="77777777" w:rsidR="00501E55" w:rsidRPr="00F9697A" w:rsidRDefault="00501E55" w:rsidP="00E549E9">
      <w:pPr>
        <w:spacing w:line="276" w:lineRule="auto"/>
        <w:rPr>
          <w:color w:val="808080" w:themeColor="background1" w:themeShade="80"/>
        </w:rPr>
      </w:pPr>
    </w:p>
    <w:p w14:paraId="1ACB3038" w14:textId="79AC3297" w:rsidR="00E675A9" w:rsidRPr="00F45FC2" w:rsidRDefault="00F672EF" w:rsidP="00E549E9">
      <w:pPr>
        <w:spacing w:line="276" w:lineRule="auto"/>
        <w:rPr>
          <w:color w:val="808080" w:themeColor="background1" w:themeShade="80"/>
        </w:rPr>
      </w:pPr>
      <w:r>
        <w:rPr>
          <w:color w:val="808080" w:themeColor="background1" w:themeShade="80"/>
        </w:rPr>
        <w:t>19</w:t>
      </w:r>
      <w:r w:rsidR="00586492" w:rsidRPr="00F45FC2">
        <w:rPr>
          <w:color w:val="808080" w:themeColor="background1" w:themeShade="80"/>
        </w:rPr>
        <w:t xml:space="preserve">. </w:t>
      </w:r>
      <w:r w:rsidR="002B7103">
        <w:rPr>
          <w:color w:val="808080" w:themeColor="background1" w:themeShade="80"/>
        </w:rPr>
        <w:t>Februar</w:t>
      </w:r>
      <w:r w:rsidR="00586492" w:rsidRPr="00F45FC2">
        <w:rPr>
          <w:color w:val="808080" w:themeColor="background1" w:themeShade="80"/>
        </w:rPr>
        <w:t xml:space="preserve"> 202</w:t>
      </w:r>
      <w:r w:rsidR="002B7103">
        <w:rPr>
          <w:color w:val="808080" w:themeColor="background1" w:themeShade="80"/>
        </w:rPr>
        <w:t>1</w:t>
      </w:r>
      <w:r w:rsidR="00586492" w:rsidRPr="00F45FC2">
        <w:rPr>
          <w:color w:val="808080" w:themeColor="background1" w:themeShade="80"/>
        </w:rPr>
        <w:t xml:space="preserve"> | </w:t>
      </w:r>
      <w:r w:rsidR="004F52EB">
        <w:rPr>
          <w:color w:val="808080" w:themeColor="background1" w:themeShade="80"/>
        </w:rPr>
        <w:t>Jamie Lee Harder</w:t>
      </w:r>
    </w:p>
    <w:p w14:paraId="00059B4E" w14:textId="49A8CF76" w:rsidR="00F45FC2" w:rsidRDefault="002B7103" w:rsidP="00F45FC2">
      <w:r>
        <w:t>Hohe Beteiligung am Forschungsprojekt zur Telemedizin</w:t>
      </w:r>
    </w:p>
    <w:p w14:paraId="6BDFC718" w14:textId="77777777" w:rsidR="002B7103" w:rsidRPr="002B7103" w:rsidRDefault="002B7103" w:rsidP="002B7103">
      <w:pPr>
        <w:shd w:val="clear" w:color="FFFFFF" w:fill="FFFFFF"/>
        <w:spacing w:after="0" w:line="240" w:lineRule="auto"/>
        <w:jc w:val="both"/>
        <w:rPr>
          <w:rFonts w:eastAsia="Times New Roman" w:cs="Calibri"/>
          <w:b w:val="0"/>
          <w:color w:val="212121"/>
          <w:szCs w:val="20"/>
          <w:lang w:eastAsia="de-DE"/>
        </w:rPr>
      </w:pPr>
      <w:bookmarkStart w:id="0" w:name="_Hlk63943176"/>
      <w:r w:rsidRPr="002B7103">
        <w:rPr>
          <w:rFonts w:eastAsia="Times New Roman" w:cs="Calibri"/>
          <w:color w:val="212121"/>
          <w:szCs w:val="20"/>
          <w:lang w:eastAsia="de-DE"/>
        </w:rPr>
        <w:t>Lennestadt</w:t>
      </w:r>
      <w:r w:rsidRPr="002B7103">
        <w:rPr>
          <w:rFonts w:eastAsia="Times New Roman" w:cs="Calibri"/>
          <w:b w:val="0"/>
          <w:color w:val="212121"/>
          <w:szCs w:val="20"/>
          <w:lang w:eastAsia="de-DE"/>
        </w:rPr>
        <w:t xml:space="preserve">. Vor allem in ländlichen Regionen betreuen immer weniger niedergelassene Ärztinnen und Ärzte immer mehr Patientinnen und Patienten. Die Kombination von Telemedizin und Präsenzsprechstunde mit einer modernen Datenmedizin kann in der gesundheitlichen Versorgung für eine deutliche Entlastung der Ärzteschaft sorgen. Die Wissenschaftlerinnen der </w:t>
      </w:r>
      <w:proofErr w:type="spellStart"/>
      <w:r w:rsidRPr="002B7103">
        <w:rPr>
          <w:rFonts w:eastAsia="Times New Roman" w:cs="Calibri"/>
          <w:b w:val="0"/>
          <w:color w:val="212121"/>
          <w:szCs w:val="20"/>
          <w:lang w:eastAsia="de-DE"/>
        </w:rPr>
        <w:t>DigiDocs</w:t>
      </w:r>
      <w:proofErr w:type="spellEnd"/>
      <w:r w:rsidRPr="002B7103">
        <w:rPr>
          <w:rFonts w:eastAsia="Times New Roman" w:cs="Calibri"/>
          <w:b w:val="0"/>
          <w:color w:val="212121"/>
          <w:szCs w:val="20"/>
          <w:lang w:eastAsia="de-DE"/>
        </w:rPr>
        <w:t xml:space="preserve">-Studie der Universität Siegen wollten wissen, unter welchen Voraussetzungen ein solcher Ansatz akzeptiert werden würde. Ende 2020 wurden </w:t>
      </w:r>
      <w:proofErr w:type="spellStart"/>
      <w:r w:rsidRPr="002B7103">
        <w:rPr>
          <w:rFonts w:eastAsia="Times New Roman" w:cs="Calibri"/>
          <w:b w:val="0"/>
          <w:color w:val="212121"/>
          <w:szCs w:val="20"/>
          <w:lang w:eastAsia="de-DE"/>
        </w:rPr>
        <w:t>Lennestädter</w:t>
      </w:r>
      <w:proofErr w:type="spellEnd"/>
      <w:r w:rsidRPr="002B7103">
        <w:rPr>
          <w:rFonts w:eastAsia="Times New Roman" w:cs="Calibri"/>
          <w:b w:val="0"/>
          <w:color w:val="212121"/>
          <w:szCs w:val="20"/>
          <w:lang w:eastAsia="de-DE"/>
        </w:rPr>
        <w:t xml:space="preserve"> und </w:t>
      </w:r>
      <w:proofErr w:type="spellStart"/>
      <w:r w:rsidRPr="002B7103">
        <w:rPr>
          <w:rFonts w:eastAsia="Times New Roman" w:cs="Calibri"/>
          <w:b w:val="0"/>
          <w:color w:val="212121"/>
          <w:szCs w:val="20"/>
          <w:lang w:eastAsia="de-DE"/>
        </w:rPr>
        <w:t>Kirchhundemer</w:t>
      </w:r>
      <w:proofErr w:type="spellEnd"/>
      <w:r w:rsidRPr="002B7103">
        <w:rPr>
          <w:rFonts w:eastAsia="Times New Roman" w:cs="Calibri"/>
          <w:b w:val="0"/>
          <w:color w:val="212121"/>
          <w:szCs w:val="20"/>
          <w:lang w:eastAsia="de-DE"/>
        </w:rPr>
        <w:t xml:space="preserve"> Bürgerinnen und Bürger befragt (wir berichteten). Die kooperierenden Hausärzte aus beiden Gemeinden konnten ihre Expertise durch Interviews einbringen. Die Ergebnisse fließen als Teilbestände in die laufende Studie „</w:t>
      </w:r>
      <w:proofErr w:type="spellStart"/>
      <w:r w:rsidRPr="002B7103">
        <w:rPr>
          <w:rFonts w:eastAsia="Times New Roman" w:cs="Calibri"/>
          <w:b w:val="0"/>
          <w:color w:val="212121"/>
          <w:szCs w:val="20"/>
          <w:lang w:eastAsia="de-DE"/>
        </w:rPr>
        <w:t>DigiDocs</w:t>
      </w:r>
      <w:proofErr w:type="spellEnd"/>
      <w:r w:rsidRPr="002B7103">
        <w:rPr>
          <w:rFonts w:eastAsia="Times New Roman" w:cs="Calibri"/>
          <w:b w:val="0"/>
          <w:color w:val="212121"/>
          <w:szCs w:val="20"/>
          <w:lang w:eastAsia="de-DE"/>
        </w:rPr>
        <w:t xml:space="preserve"> Lennestadt“ ein.</w:t>
      </w:r>
    </w:p>
    <w:p w14:paraId="456908E2" w14:textId="77777777" w:rsidR="002B7103" w:rsidRPr="002B7103" w:rsidRDefault="002B7103" w:rsidP="002B7103">
      <w:pPr>
        <w:shd w:val="clear" w:color="FFFFFF" w:fill="FFFFFF"/>
        <w:spacing w:after="0" w:line="240" w:lineRule="auto"/>
        <w:jc w:val="both"/>
        <w:rPr>
          <w:rFonts w:eastAsia="Times New Roman" w:cs="Calibri"/>
          <w:b w:val="0"/>
          <w:color w:val="212121"/>
          <w:szCs w:val="20"/>
          <w:lang w:eastAsia="de-DE"/>
        </w:rPr>
      </w:pPr>
    </w:p>
    <w:p w14:paraId="6408BF95" w14:textId="02E5CFFF" w:rsidR="002B7103" w:rsidRPr="002B7103" w:rsidRDefault="002B7103" w:rsidP="002B7103">
      <w:pPr>
        <w:shd w:val="clear" w:color="FFFFFF" w:fill="FFFFFF"/>
        <w:spacing w:after="0" w:line="240" w:lineRule="auto"/>
        <w:jc w:val="both"/>
        <w:rPr>
          <w:rFonts w:eastAsia="Times New Roman" w:cs="Calibri"/>
          <w:b w:val="0"/>
          <w:color w:val="212121"/>
          <w:szCs w:val="20"/>
          <w:lang w:eastAsia="de-DE"/>
        </w:rPr>
      </w:pPr>
      <w:r w:rsidRPr="002B7103">
        <w:rPr>
          <w:rFonts w:eastAsia="Calibri" w:cs="Calibri"/>
          <w:szCs w:val="20"/>
        </w:rPr>
        <w:t>1300 Bürgerinnen und Bürger aus Lennestadt und direkter Umgebung nahmen an Umfrage teil</w:t>
      </w:r>
      <w:r w:rsidRPr="002B7103">
        <w:rPr>
          <w:rFonts w:eastAsia="Times New Roman" w:cs="Calibri"/>
          <w:bCs/>
          <w:color w:val="212121"/>
          <w:szCs w:val="20"/>
          <w:lang w:eastAsia="de-DE"/>
        </w:rPr>
        <w:t xml:space="preserve"> Bürgerbefragung</w:t>
      </w:r>
    </w:p>
    <w:p w14:paraId="1101E377" w14:textId="77777777" w:rsidR="002B7103" w:rsidRDefault="002B7103" w:rsidP="002B7103">
      <w:pPr>
        <w:shd w:val="clear" w:color="FFFFFF" w:fill="FFFFFF"/>
        <w:spacing w:after="0" w:line="240" w:lineRule="auto"/>
        <w:jc w:val="both"/>
        <w:rPr>
          <w:rFonts w:eastAsia="Times New Roman" w:cs="Calibri"/>
          <w:b w:val="0"/>
          <w:color w:val="212121"/>
          <w:szCs w:val="20"/>
          <w:lang w:eastAsia="de-DE"/>
        </w:rPr>
      </w:pPr>
      <w:r w:rsidRPr="002B7103">
        <w:rPr>
          <w:rFonts w:eastAsia="Times New Roman" w:cs="Calibri"/>
          <w:b w:val="0"/>
          <w:color w:val="212121"/>
          <w:szCs w:val="20"/>
          <w:lang w:eastAsia="de-DE"/>
        </w:rPr>
        <w:t xml:space="preserve">Die Verantwortlichen der Universität Siegen zeigten sich erfreut über die vergleichsweise hohe Beteiligung der Bevölkerung: mit über 1300 Bürgerinnen und Bürgern zeigte sich das große Interesse. Die Auswertung ist noch nicht gänzlich abgeschlossen (Frühjahr 2021), lässt aber bereits erkennen, dass man – Altersklassen übergreifend - offen und aufgeschlossen gegenüber telemedizinischen Anwendungen ist. Die Sorge, dass es in den kommenden Jahren zu wenig niedergelassene </w:t>
      </w:r>
      <w:proofErr w:type="spellStart"/>
      <w:r w:rsidRPr="002B7103">
        <w:rPr>
          <w:rFonts w:eastAsia="Times New Roman" w:cs="Calibri"/>
          <w:b w:val="0"/>
          <w:color w:val="212121"/>
          <w:szCs w:val="20"/>
          <w:lang w:eastAsia="de-DE"/>
        </w:rPr>
        <w:t>Ärzt</w:t>
      </w:r>
      <w:proofErr w:type="spellEnd"/>
      <w:r w:rsidRPr="002B7103">
        <w:rPr>
          <w:rFonts w:eastAsia="Times New Roman" w:cs="Calibri"/>
          <w:b w:val="0"/>
          <w:color w:val="212121"/>
          <w:szCs w:val="20"/>
          <w:lang w:eastAsia="de-DE"/>
        </w:rPr>
        <w:t>*innen in Lennestadt und Umgebung geben wird, ist signifikant und ein wichtiges Ergebnis. Im nächsten Schritt werden die Patienten-Interviews in den kooperierenden Praxen durchgeführt.</w:t>
      </w:r>
    </w:p>
    <w:p w14:paraId="19FD2EDE" w14:textId="77777777" w:rsidR="002B7103" w:rsidRDefault="002B7103" w:rsidP="002B7103">
      <w:pPr>
        <w:shd w:val="clear" w:color="FFFFFF" w:fill="FFFFFF"/>
        <w:spacing w:after="0" w:line="240" w:lineRule="auto"/>
        <w:jc w:val="both"/>
        <w:rPr>
          <w:rFonts w:eastAsia="Times New Roman" w:cs="Calibri"/>
          <w:b w:val="0"/>
          <w:color w:val="212121"/>
          <w:szCs w:val="20"/>
          <w:lang w:eastAsia="de-DE"/>
        </w:rPr>
      </w:pPr>
    </w:p>
    <w:p w14:paraId="3434417A" w14:textId="108002EE" w:rsidR="002B7103" w:rsidRPr="002B7103" w:rsidRDefault="002B7103" w:rsidP="002B7103">
      <w:pPr>
        <w:shd w:val="clear" w:color="FFFFFF" w:fill="FFFFFF"/>
        <w:spacing w:after="0" w:line="240" w:lineRule="auto"/>
        <w:jc w:val="both"/>
        <w:rPr>
          <w:rFonts w:eastAsia="Times New Roman" w:cs="Calibri"/>
          <w:b w:val="0"/>
          <w:color w:val="212121"/>
          <w:szCs w:val="20"/>
          <w:lang w:eastAsia="de-DE"/>
        </w:rPr>
      </w:pPr>
      <w:r w:rsidRPr="002B7103">
        <w:rPr>
          <w:rFonts w:eastAsia="Times New Roman" w:cs="Calibri"/>
          <w:bCs/>
          <w:color w:val="212121"/>
          <w:szCs w:val="20"/>
          <w:lang w:eastAsia="de-DE"/>
        </w:rPr>
        <w:t>Ärzteworkshops und Ärzteinterviews</w:t>
      </w:r>
    </w:p>
    <w:p w14:paraId="53C0B9D7" w14:textId="77777777" w:rsidR="002B7103" w:rsidRPr="002B7103" w:rsidRDefault="002B7103" w:rsidP="002B7103">
      <w:pPr>
        <w:shd w:val="clear" w:color="FFFFFF" w:fill="FFFFFF"/>
        <w:spacing w:after="0" w:line="240" w:lineRule="auto"/>
        <w:jc w:val="both"/>
        <w:rPr>
          <w:rFonts w:eastAsia="Times New Roman" w:cs="Calibri"/>
          <w:b w:val="0"/>
          <w:color w:val="212121"/>
          <w:szCs w:val="20"/>
          <w:lang w:eastAsia="de-DE"/>
        </w:rPr>
      </w:pPr>
      <w:r w:rsidRPr="002B7103">
        <w:rPr>
          <w:rFonts w:eastAsia="Times New Roman" w:cs="Calibri"/>
          <w:b w:val="0"/>
          <w:color w:val="212121"/>
          <w:szCs w:val="20"/>
          <w:lang w:eastAsia="de-DE"/>
        </w:rPr>
        <w:t xml:space="preserve">Ein weiterer Baustein der Studie sind Ärzteworkshops mit kooperierenden </w:t>
      </w:r>
      <w:proofErr w:type="spellStart"/>
      <w:r w:rsidRPr="002B7103">
        <w:rPr>
          <w:rFonts w:eastAsia="Times New Roman" w:cs="Calibri"/>
          <w:b w:val="0"/>
          <w:color w:val="212121"/>
          <w:szCs w:val="20"/>
          <w:lang w:eastAsia="de-DE"/>
        </w:rPr>
        <w:t>Lennestädter</w:t>
      </w:r>
      <w:proofErr w:type="spellEnd"/>
      <w:r w:rsidRPr="002B7103">
        <w:rPr>
          <w:rFonts w:eastAsia="Times New Roman" w:cs="Calibri"/>
          <w:b w:val="0"/>
          <w:color w:val="212121"/>
          <w:szCs w:val="20"/>
          <w:lang w:eastAsia="de-DE"/>
        </w:rPr>
        <w:t xml:space="preserve"> und </w:t>
      </w:r>
      <w:proofErr w:type="spellStart"/>
      <w:r w:rsidRPr="002B7103">
        <w:rPr>
          <w:rFonts w:eastAsia="Times New Roman" w:cs="Calibri"/>
          <w:b w:val="0"/>
          <w:color w:val="212121"/>
          <w:szCs w:val="20"/>
          <w:lang w:eastAsia="de-DE"/>
        </w:rPr>
        <w:t>Kirchhundemer</w:t>
      </w:r>
      <w:proofErr w:type="spellEnd"/>
      <w:r w:rsidRPr="002B7103">
        <w:rPr>
          <w:rFonts w:eastAsia="Times New Roman" w:cs="Calibri"/>
          <w:b w:val="0"/>
          <w:color w:val="212121"/>
          <w:szCs w:val="20"/>
          <w:lang w:eastAsia="de-DE"/>
        </w:rPr>
        <w:t xml:space="preserve"> Arztpraxen. In der letzten Onlinerunde kurz vor Weihnachten wurden erste Trends aus den Interviews vorgestellt; in Kleingruppendiskussionen wurden Perspektiven diskutiert. Lennestadts Bürgermeister Tobias </w:t>
      </w:r>
      <w:proofErr w:type="spellStart"/>
      <w:r w:rsidRPr="002B7103">
        <w:rPr>
          <w:rFonts w:eastAsia="Times New Roman" w:cs="Calibri"/>
          <w:b w:val="0"/>
          <w:color w:val="212121"/>
          <w:szCs w:val="20"/>
          <w:lang w:eastAsia="de-DE"/>
        </w:rPr>
        <w:t>Puspas</w:t>
      </w:r>
      <w:proofErr w:type="spellEnd"/>
      <w:r w:rsidRPr="002B7103">
        <w:rPr>
          <w:rFonts w:eastAsia="Times New Roman" w:cs="Calibri"/>
          <w:b w:val="0"/>
          <w:color w:val="212121"/>
          <w:szCs w:val="20"/>
          <w:lang w:eastAsia="de-DE"/>
        </w:rPr>
        <w:t xml:space="preserve"> betonte die Bedeutung des Projekts aufgrund des bestehenden Handlungsbedarfes: „Es muss eine für alle Beteiligten gute und zukunftsfähige Lösung ergeben.“</w:t>
      </w:r>
    </w:p>
    <w:p w14:paraId="0ED7D8B4" w14:textId="77777777" w:rsidR="002B7103" w:rsidRDefault="002B7103" w:rsidP="002B7103">
      <w:pPr>
        <w:shd w:val="clear" w:color="FFFFFF" w:fill="FFFFFF"/>
        <w:spacing w:after="0" w:line="240" w:lineRule="auto"/>
        <w:jc w:val="both"/>
        <w:rPr>
          <w:rFonts w:eastAsia="Times New Roman" w:cs="Calibri"/>
          <w:b w:val="0"/>
          <w:color w:val="212121"/>
          <w:szCs w:val="20"/>
          <w:lang w:eastAsia="de-DE"/>
        </w:rPr>
      </w:pPr>
      <w:r w:rsidRPr="002B7103">
        <w:rPr>
          <w:rFonts w:eastAsia="Times New Roman" w:cs="Calibri"/>
          <w:b w:val="0"/>
          <w:color w:val="212121"/>
          <w:szCs w:val="20"/>
          <w:lang w:eastAsia="de-DE"/>
        </w:rPr>
        <w:t>In Gesprächen mit den ortsansässigen Praxen verschaffte sich das Forschungsteam einen Überblick über deren Größe, die Anzahl der Patienten pro Praxis, die Behandlungsquote sowie über die Aufgaben der Medizinischen Fachangestellten, die bereits als nicht-ärztliche Praxisangestellte (</w:t>
      </w:r>
      <w:proofErr w:type="spellStart"/>
      <w:r w:rsidRPr="002B7103">
        <w:rPr>
          <w:rFonts w:eastAsia="Times New Roman" w:cs="Calibri"/>
          <w:b w:val="0"/>
          <w:color w:val="212121"/>
          <w:szCs w:val="20"/>
          <w:lang w:eastAsia="de-DE"/>
        </w:rPr>
        <w:t>NäPas</w:t>
      </w:r>
      <w:proofErr w:type="spellEnd"/>
      <w:r w:rsidRPr="002B7103">
        <w:rPr>
          <w:rFonts w:eastAsia="Times New Roman" w:cs="Calibri"/>
          <w:b w:val="0"/>
          <w:color w:val="212121"/>
          <w:szCs w:val="20"/>
          <w:lang w:eastAsia="de-DE"/>
        </w:rPr>
        <w:t>) bei Hausbesuchen im Einsatz sind.</w:t>
      </w:r>
    </w:p>
    <w:p w14:paraId="040AC19A" w14:textId="77777777" w:rsidR="002B7103" w:rsidRDefault="002B7103" w:rsidP="002B7103">
      <w:pPr>
        <w:shd w:val="clear" w:color="FFFFFF" w:fill="FFFFFF"/>
        <w:spacing w:after="0" w:line="240" w:lineRule="auto"/>
        <w:jc w:val="both"/>
        <w:rPr>
          <w:rFonts w:eastAsia="Times New Roman" w:cs="Calibri"/>
          <w:b w:val="0"/>
          <w:color w:val="212121"/>
          <w:szCs w:val="20"/>
          <w:lang w:eastAsia="de-DE"/>
        </w:rPr>
      </w:pPr>
    </w:p>
    <w:p w14:paraId="3C5B8AD4" w14:textId="09A11762" w:rsidR="002B7103" w:rsidRPr="002B7103" w:rsidRDefault="002B7103" w:rsidP="002B7103">
      <w:pPr>
        <w:shd w:val="clear" w:color="FFFFFF" w:fill="FFFFFF"/>
        <w:spacing w:after="0" w:line="240" w:lineRule="auto"/>
        <w:jc w:val="both"/>
        <w:rPr>
          <w:rFonts w:eastAsia="Times New Roman" w:cs="Calibri"/>
          <w:b w:val="0"/>
          <w:color w:val="212121"/>
          <w:szCs w:val="20"/>
          <w:lang w:eastAsia="de-DE"/>
        </w:rPr>
      </w:pPr>
      <w:r w:rsidRPr="002B7103">
        <w:rPr>
          <w:rFonts w:eastAsia="Times New Roman" w:cs="Calibri"/>
          <w:color w:val="212121"/>
          <w:szCs w:val="20"/>
          <w:lang w:eastAsia="de-DE"/>
        </w:rPr>
        <w:t>Besonderes Vertrauensverhältnis in dieser Region</w:t>
      </w:r>
    </w:p>
    <w:p w14:paraId="1EE9C102" w14:textId="77777777" w:rsidR="002B7103" w:rsidRPr="002B7103" w:rsidRDefault="002B7103" w:rsidP="002B7103">
      <w:pPr>
        <w:shd w:val="clear" w:color="FFFFFF" w:fill="FFFFFF"/>
        <w:spacing w:after="0" w:line="240" w:lineRule="auto"/>
        <w:jc w:val="both"/>
        <w:rPr>
          <w:rFonts w:eastAsia="Times New Roman" w:cs="Calibri"/>
          <w:b w:val="0"/>
          <w:color w:val="212121"/>
          <w:szCs w:val="20"/>
          <w:lang w:eastAsia="de-DE"/>
        </w:rPr>
      </w:pPr>
      <w:r w:rsidRPr="002B7103">
        <w:rPr>
          <w:rFonts w:eastAsia="Times New Roman" w:cs="Calibri"/>
          <w:b w:val="0"/>
          <w:color w:val="212121"/>
          <w:szCs w:val="20"/>
          <w:lang w:eastAsia="de-DE"/>
        </w:rPr>
        <w:t xml:space="preserve">Regionalen Besonderheiten der Allgemeinmedizin im ländlichen Raum sehen die Interviewten im besonders vertrauensvollen und langjährigen Arzt-Patienten-Verhältnis. Die Bestandsaufnahme zeigt, dass bereits Arbeitsabläufe in den Praxen mit unterschiedlichen Schwerpunkten digitalisiert wurden. Gerade das konkrete, anwendungsbezogene Detail-Wissen über telemedizinische Technologien ist ein zeitaufwändiger Fortbildungsaspekt. Zur Einarbeitung mangelt es den niedergelassenen </w:t>
      </w:r>
      <w:proofErr w:type="spellStart"/>
      <w:r w:rsidRPr="002B7103">
        <w:rPr>
          <w:rFonts w:eastAsia="Times New Roman" w:cs="Calibri"/>
          <w:b w:val="0"/>
          <w:color w:val="212121"/>
          <w:szCs w:val="20"/>
          <w:lang w:eastAsia="de-DE"/>
        </w:rPr>
        <w:t>Ärzt</w:t>
      </w:r>
      <w:proofErr w:type="spellEnd"/>
      <w:r w:rsidRPr="002B7103">
        <w:rPr>
          <w:rFonts w:eastAsia="Times New Roman" w:cs="Calibri"/>
          <w:b w:val="0"/>
          <w:color w:val="212121"/>
          <w:szCs w:val="20"/>
          <w:lang w:eastAsia="de-DE"/>
        </w:rPr>
        <w:t xml:space="preserve">*innen nicht nur an Zeit – da Behandlungen Vorrang haben – sondern auch daran, dass zu wenig Anreize geschaffen werden. Die Einbindung junger Mediziner*innen oder Medizinstudierenden mittels telemedizinischer Strukturen in den Praxisalltag wurde ebenso divers diskutiert, wie die Auswirkung telemedizinischer Kommunikation auf das Arzt-Patienten-Verhältnis. Die Zielgruppe, die für telemedizinische Behandlungsformen geeignet gehalten wird, reichte von immobilen </w:t>
      </w:r>
      <w:r w:rsidRPr="002B7103">
        <w:rPr>
          <w:rFonts w:eastAsia="Times New Roman" w:cs="Calibri"/>
          <w:b w:val="0"/>
          <w:color w:val="212121"/>
          <w:szCs w:val="20"/>
          <w:lang w:eastAsia="de-DE"/>
        </w:rPr>
        <w:lastRenderedPageBreak/>
        <w:t>Personen bis zur Gruppe der meist jungen, technikaffinen Personen. Ein großes Chancenpotential wird bei der Qualitätsverbesserung der Sprechstunde durch effiziente Betreuung und Behandlung gesehen. Als limitierender Faktor wurde wiederholt das knappe Zeitbudget genannt. Weitere Informationen: </w:t>
      </w:r>
      <w:hyperlink r:id="rId6" w:tooltip="https://fokos.de/projekt/dmgd-digidocs/" w:history="1">
        <w:r w:rsidRPr="002B7103">
          <w:rPr>
            <w:rFonts w:eastAsia="Times New Roman" w:cs="Calibri"/>
            <w:b w:val="0"/>
            <w:color w:val="0000FF"/>
            <w:szCs w:val="20"/>
            <w:u w:val="single"/>
            <w:lang w:eastAsia="de-DE"/>
          </w:rPr>
          <w:t>https://fokos.de/projekt/dmgd-digidocs/</w:t>
        </w:r>
      </w:hyperlink>
    </w:p>
    <w:p w14:paraId="089E22FA" w14:textId="77777777" w:rsidR="002B7103" w:rsidRPr="002B7103" w:rsidRDefault="002B7103" w:rsidP="002B7103">
      <w:pPr>
        <w:shd w:val="clear" w:color="FFFFFF" w:fill="FFFFFF"/>
        <w:spacing w:after="0" w:line="240" w:lineRule="auto"/>
        <w:jc w:val="both"/>
        <w:rPr>
          <w:rFonts w:eastAsia="Times New Roman" w:cs="Calibri"/>
          <w:b w:val="0"/>
          <w:color w:val="212121"/>
          <w:sz w:val="22"/>
          <w:lang w:eastAsia="de-DE"/>
        </w:rPr>
      </w:pPr>
      <w:r w:rsidRPr="002B7103">
        <w:rPr>
          <w:rFonts w:eastAsia="Times New Roman" w:cs="Calibri"/>
          <w:b w:val="0"/>
          <w:color w:val="212121"/>
          <w:sz w:val="22"/>
          <w:lang w:eastAsia="de-DE"/>
        </w:rPr>
        <w:t> </w:t>
      </w:r>
    </w:p>
    <w:p w14:paraId="35B07B9B" w14:textId="77777777" w:rsidR="002B7103" w:rsidRPr="002B7103" w:rsidRDefault="002B7103" w:rsidP="002B7103">
      <w:pPr>
        <w:shd w:val="clear" w:color="FFFFFF" w:fill="FFFFFF"/>
        <w:spacing w:after="0" w:line="240" w:lineRule="auto"/>
        <w:jc w:val="both"/>
        <w:rPr>
          <w:rFonts w:eastAsia="Times New Roman" w:cs="Calibri"/>
          <w:bCs/>
          <w:i/>
          <w:color w:val="212121"/>
          <w:szCs w:val="20"/>
          <w:lang w:eastAsia="de-DE"/>
        </w:rPr>
      </w:pPr>
      <w:r w:rsidRPr="002B7103">
        <w:rPr>
          <w:rFonts w:eastAsia="Times New Roman" w:cs="Calibri"/>
          <w:bCs/>
          <w:i/>
          <w:color w:val="212121"/>
          <w:szCs w:val="20"/>
          <w:lang w:eastAsia="de-DE"/>
        </w:rPr>
        <w:t>Hintergrund:</w:t>
      </w:r>
    </w:p>
    <w:p w14:paraId="5EA3C654" w14:textId="6923FEC1" w:rsidR="00501E55" w:rsidRPr="002B7103" w:rsidRDefault="002B7103" w:rsidP="002B7103">
      <w:pPr>
        <w:shd w:val="clear" w:color="FFFFFF" w:fill="FFFFFF"/>
        <w:spacing w:after="0" w:line="240" w:lineRule="auto"/>
        <w:jc w:val="both"/>
        <w:rPr>
          <w:rFonts w:eastAsia="Times New Roman" w:cs="Calibri"/>
          <w:b w:val="0"/>
          <w:i/>
          <w:color w:val="212121"/>
          <w:szCs w:val="20"/>
          <w:lang w:eastAsia="de-DE"/>
        </w:rPr>
      </w:pPr>
      <w:r w:rsidRPr="002B7103">
        <w:rPr>
          <w:rFonts w:eastAsia="Times New Roman" w:cs="Calibri"/>
          <w:b w:val="0"/>
          <w:i/>
          <w:color w:val="212121"/>
          <w:szCs w:val="20"/>
          <w:lang w:eastAsia="de-DE"/>
        </w:rPr>
        <w:t>Das Forschungskolleg (</w:t>
      </w:r>
      <w:proofErr w:type="spellStart"/>
      <w:r w:rsidRPr="002B7103">
        <w:rPr>
          <w:rFonts w:eastAsia="Times New Roman" w:cs="Calibri"/>
          <w:b w:val="0"/>
          <w:i/>
          <w:color w:val="212121"/>
          <w:szCs w:val="20"/>
          <w:lang w:eastAsia="de-DE"/>
        </w:rPr>
        <w:t>FoKoS</w:t>
      </w:r>
      <w:proofErr w:type="spellEnd"/>
      <w:r w:rsidRPr="002B7103">
        <w:rPr>
          <w:rFonts w:eastAsia="Times New Roman" w:cs="Calibri"/>
          <w:b w:val="0"/>
          <w:i/>
          <w:color w:val="212121"/>
          <w:szCs w:val="20"/>
          <w:lang w:eastAsia="de-DE"/>
        </w:rPr>
        <w:t>) und die Lebenswissenschaftliche Fakultät (LWF) der Universität Siegen führen seit August 2020 die wissenschaftliche Studie „</w:t>
      </w:r>
      <w:proofErr w:type="spellStart"/>
      <w:r w:rsidRPr="002B7103">
        <w:rPr>
          <w:rFonts w:eastAsia="Times New Roman" w:cs="Calibri"/>
          <w:b w:val="0"/>
          <w:i/>
          <w:color w:val="212121"/>
          <w:szCs w:val="20"/>
          <w:lang w:eastAsia="de-DE"/>
        </w:rPr>
        <w:t>DigiDocs</w:t>
      </w:r>
      <w:proofErr w:type="spellEnd"/>
      <w:r w:rsidRPr="002B7103">
        <w:rPr>
          <w:rFonts w:eastAsia="Times New Roman" w:cs="Calibri"/>
          <w:b w:val="0"/>
          <w:i/>
          <w:color w:val="212121"/>
          <w:szCs w:val="20"/>
          <w:lang w:eastAsia="de-DE"/>
        </w:rPr>
        <w:t xml:space="preserve"> Lennestadt“ in Kooperation mit der Stadt Lennestadt durch. Ziel der einjährigen Untersuchung ist die Erarbeitung eines überlokalen digitalisierten Praxis- und Behandlungskonzeptes in Kombination von Telemedizin und Präsenzsprechstunde. Das Modell könnte vor allem für junge Mediziner*innen interessant sein, da es eine verbesserte Work-Life-Balance und überlokale Arbeitsbedingungen, wie beispielsweise arbeiten aus dem Homeoffice, ermöglicht. Es besteht die Möglichkeit, dass das ausgearbeitete Konzept im Anschluss an die Studie als Entwicklungsprojekt im Reallabor Lennestadt und Kirchhundem umgesetzt wird. </w:t>
      </w:r>
      <w:hyperlink r:id="rId7" w:history="1">
        <w:r w:rsidRPr="002B7103">
          <w:rPr>
            <w:rFonts w:eastAsia="Times New Roman" w:cs="Calibri"/>
            <w:b w:val="0"/>
            <w:i/>
            <w:color w:val="0000FF"/>
            <w:szCs w:val="20"/>
            <w:u w:val="single"/>
            <w:lang w:eastAsia="de-DE"/>
          </w:rPr>
          <w:t>www.dmgd.de</w:t>
        </w:r>
      </w:hyperlink>
      <w:bookmarkEnd w:id="0"/>
    </w:p>
    <w:p w14:paraId="4BFC7548" w14:textId="77777777" w:rsidR="004A6070" w:rsidRDefault="004A6070" w:rsidP="00464DCA">
      <w:pPr>
        <w:pStyle w:val="Fliesstext-DMGD"/>
      </w:pPr>
    </w:p>
    <w:tbl>
      <w:tblPr>
        <w:tblStyle w:val="Tabellenraster"/>
        <w:tblW w:w="0" w:type="auto"/>
        <w:tblInd w:w="-11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098"/>
        <w:gridCol w:w="7248"/>
      </w:tblGrid>
      <w:tr w:rsidR="00B56CA1" w14:paraId="760B096C" w14:textId="77777777" w:rsidTr="00501E55">
        <w:tc>
          <w:tcPr>
            <w:tcW w:w="2098" w:type="dxa"/>
            <w:tcBorders>
              <w:right w:val="single" w:sz="4" w:space="0" w:color="7F7F7F" w:themeColor="text1" w:themeTint="80"/>
            </w:tcBorders>
          </w:tcPr>
          <w:p w14:paraId="2F2C3328" w14:textId="77777777" w:rsidR="00B56CA1" w:rsidRPr="00501E55" w:rsidRDefault="00B56CA1" w:rsidP="00B56CA1">
            <w:pPr>
              <w:pStyle w:val="Fliesstext-DMGD"/>
              <w:rPr>
                <w:color w:val="7F7F7F" w:themeColor="text1" w:themeTint="80"/>
              </w:rPr>
            </w:pPr>
            <w:proofErr w:type="spellStart"/>
            <w:r w:rsidRPr="00501E55">
              <w:rPr>
                <w:color w:val="7F7F7F" w:themeColor="text1" w:themeTint="80"/>
              </w:rPr>
              <w:t>Autor</w:t>
            </w:r>
            <w:r w:rsidR="00AC1189" w:rsidRPr="00501E55">
              <w:rPr>
                <w:color w:val="7F7F7F" w:themeColor="text1" w:themeTint="80"/>
              </w:rPr>
              <w:t>In</w:t>
            </w:r>
            <w:proofErr w:type="spellEnd"/>
            <w:r w:rsidRPr="00501E55">
              <w:rPr>
                <w:color w:val="7F7F7F" w:themeColor="text1" w:themeTint="80"/>
              </w:rPr>
              <w:t xml:space="preserve"> Text:</w:t>
            </w:r>
          </w:p>
        </w:tc>
        <w:tc>
          <w:tcPr>
            <w:tcW w:w="7248" w:type="dxa"/>
            <w:tcBorders>
              <w:left w:val="single" w:sz="4" w:space="0" w:color="7F7F7F" w:themeColor="text1" w:themeTint="80"/>
            </w:tcBorders>
          </w:tcPr>
          <w:p w14:paraId="4DB363DE" w14:textId="2389D5E4" w:rsidR="00B56CA1" w:rsidRPr="00501E55" w:rsidRDefault="004F52EB" w:rsidP="00B56CA1">
            <w:pPr>
              <w:pStyle w:val="Fliesstext-DMGD"/>
              <w:rPr>
                <w:color w:val="7F7F7F" w:themeColor="text1" w:themeTint="80"/>
              </w:rPr>
            </w:pPr>
            <w:r>
              <w:rPr>
                <w:color w:val="7F7F7F" w:themeColor="text1" w:themeTint="80"/>
              </w:rPr>
              <w:t>Jamie Lee Harder</w:t>
            </w:r>
          </w:p>
        </w:tc>
      </w:tr>
    </w:tbl>
    <w:p w14:paraId="4B8505F2" w14:textId="77777777" w:rsidR="00501E55" w:rsidRDefault="00501E55" w:rsidP="00464DCA">
      <w:pPr>
        <w:spacing w:line="276" w:lineRule="auto"/>
      </w:pPr>
    </w:p>
    <w:p w14:paraId="4941FABE" w14:textId="77777777" w:rsidR="00501E55" w:rsidRDefault="00501E55" w:rsidP="00464DCA">
      <w:pPr>
        <w:spacing w:line="276" w:lineRule="auto"/>
      </w:pPr>
    </w:p>
    <w:p w14:paraId="033D1F19" w14:textId="77777777" w:rsidR="00D90628" w:rsidRDefault="00D90628" w:rsidP="00464DCA">
      <w:pPr>
        <w:spacing w:line="276" w:lineRule="auto"/>
      </w:pPr>
      <w:proofErr w:type="spellStart"/>
      <w:r w:rsidRPr="00403EC2">
        <w:t>ForschungsKollegSiegen</w:t>
      </w:r>
      <w:proofErr w:type="spellEnd"/>
      <w:r w:rsidRPr="00403EC2">
        <w:br/>
        <w:t xml:space="preserve">Institute </w:t>
      </w:r>
      <w:proofErr w:type="spellStart"/>
      <w:r w:rsidRPr="00403EC2">
        <w:t>for</w:t>
      </w:r>
      <w:proofErr w:type="spellEnd"/>
      <w:r w:rsidRPr="00403EC2">
        <w:t xml:space="preserve"> </w:t>
      </w:r>
      <w:proofErr w:type="spellStart"/>
      <w:r w:rsidRPr="00403EC2">
        <w:t>Advanced</w:t>
      </w:r>
      <w:proofErr w:type="spellEnd"/>
      <w:r w:rsidRPr="00403EC2">
        <w:t xml:space="preserve"> Study</w:t>
      </w:r>
    </w:p>
    <w:p w14:paraId="5ADEADEA" w14:textId="77777777" w:rsidR="00D90628" w:rsidRDefault="00D90628" w:rsidP="00464DCA">
      <w:pPr>
        <w:pStyle w:val="Fliesstext-DMGD"/>
      </w:pPr>
      <w:r w:rsidRPr="00403EC2">
        <w:t>Ansprechpartner: Dr. Olaf Gaus</w:t>
      </w:r>
    </w:p>
    <w:p w14:paraId="2BC2CDD1" w14:textId="77777777" w:rsidR="00637F96" w:rsidRDefault="00D90628" w:rsidP="00464DCA">
      <w:pPr>
        <w:pStyle w:val="Fliesstext-DMGD"/>
        <w:tabs>
          <w:tab w:val="left" w:pos="709"/>
        </w:tabs>
      </w:pPr>
      <w:r>
        <w:t>Weidenauer Straße 167</w:t>
      </w:r>
      <w:r>
        <w:br/>
        <w:t>57076 Siegen</w:t>
      </w:r>
    </w:p>
    <w:p w14:paraId="6B5E934E" w14:textId="77777777" w:rsidR="00D90628" w:rsidRDefault="00D90628" w:rsidP="00464DCA">
      <w:pPr>
        <w:pStyle w:val="Fliesstext-DMGD"/>
        <w:tabs>
          <w:tab w:val="left" w:pos="709"/>
        </w:tabs>
      </w:pPr>
      <w:r>
        <w:t>Telefon</w:t>
      </w:r>
      <w:r>
        <w:tab/>
        <w:t>+49 271 740-4988</w:t>
      </w:r>
      <w:r>
        <w:br/>
        <w:t>Fax</w:t>
      </w:r>
      <w:r>
        <w:tab/>
        <w:t>+49 271 740-3859</w:t>
      </w:r>
    </w:p>
    <w:p w14:paraId="26460303" w14:textId="77777777" w:rsidR="00D90628" w:rsidRDefault="00D90628" w:rsidP="00464DCA">
      <w:pPr>
        <w:pStyle w:val="Fliesstext-DMGD"/>
        <w:tabs>
          <w:tab w:val="left" w:pos="709"/>
        </w:tabs>
      </w:pPr>
      <w:r w:rsidRPr="00403EC2">
        <w:t>olaf.gaus@uni-siegen.de</w:t>
      </w:r>
      <w:r>
        <w:br/>
      </w:r>
      <w:r w:rsidR="00464DCA" w:rsidRPr="00464DCA">
        <w:t>www.dmgd.de</w:t>
      </w:r>
    </w:p>
    <w:p w14:paraId="66EE3E50" w14:textId="77777777" w:rsidR="00464DCA" w:rsidRDefault="00464DCA" w:rsidP="00464DCA">
      <w:pPr>
        <w:pStyle w:val="Fliesstext-DMGD"/>
        <w:tabs>
          <w:tab w:val="left" w:pos="709"/>
        </w:tabs>
      </w:pPr>
    </w:p>
    <w:p w14:paraId="5CD9740E" w14:textId="77777777" w:rsidR="00464DCA" w:rsidRDefault="00464DCA" w:rsidP="00464DCA">
      <w:pPr>
        <w:pStyle w:val="Fliesstext-DMGD"/>
        <w:tabs>
          <w:tab w:val="left" w:pos="709"/>
        </w:tabs>
      </w:pPr>
    </w:p>
    <w:p w14:paraId="1D4613A1" w14:textId="77777777" w:rsidR="00D90628" w:rsidRPr="00501E55" w:rsidRDefault="00651525" w:rsidP="00464DCA">
      <w:pPr>
        <w:rPr>
          <w:rFonts w:asciiTheme="minorHAnsi" w:hAnsiTheme="minorHAnsi" w:cstheme="minorHAnsi"/>
          <w:sz w:val="26"/>
          <w:szCs w:val="26"/>
        </w:rPr>
      </w:pPr>
      <w:r w:rsidRPr="00501E55">
        <w:rPr>
          <w:rFonts w:asciiTheme="minorHAnsi" w:hAnsiTheme="minorHAnsi" w:cstheme="minorHAnsi"/>
          <w:color w:val="808080" w:themeColor="background1" w:themeShade="80"/>
          <w:spacing w:val="20"/>
          <w:sz w:val="26"/>
          <w:szCs w:val="26"/>
        </w:rPr>
        <w:t>DMGD</w:t>
      </w:r>
    </w:p>
    <w:p w14:paraId="246BD976" w14:textId="77777777" w:rsidR="00464DCA" w:rsidRPr="00464DCA" w:rsidRDefault="00464DCA" w:rsidP="00501E55">
      <w:pPr>
        <w:pStyle w:val="Fliesstext-DMGD"/>
      </w:pPr>
      <w:r w:rsidRPr="00464DCA">
        <w:t>Die Digitale Modellregion Gesundheit Dreiländereck (DMGD) ist ein Gesamtkonzept des Forschungskollegs (</w:t>
      </w:r>
      <w:proofErr w:type="spellStart"/>
      <w:r w:rsidRPr="00464DCA">
        <w:t>FoKoS</w:t>
      </w:r>
      <w:proofErr w:type="spellEnd"/>
      <w:r w:rsidRPr="00464DCA">
        <w:t>) und der Lebenswissenschaftlichen Fakultät</w:t>
      </w:r>
      <w:r w:rsidR="002E6F83">
        <w:t xml:space="preserve"> </w:t>
      </w:r>
      <w:r w:rsidR="008D1CBB">
        <w:t>(LWF)</w:t>
      </w:r>
      <w:r w:rsidRPr="00464DCA">
        <w:t xml:space="preserve"> der Universität Siegen. </w:t>
      </w:r>
      <w:r w:rsidR="00D11DE1">
        <w:t>Das</w:t>
      </w:r>
      <w:r w:rsidRPr="00464DCA">
        <w:t xml:space="preserve"> </w:t>
      </w:r>
      <w:r w:rsidR="00D11DE1">
        <w:t>Z</w:t>
      </w:r>
      <w:r w:rsidRPr="00464DCA">
        <w:t xml:space="preserve">iel ist der Aufbau einer Datenmedizin zur Entlastung </w:t>
      </w:r>
      <w:r w:rsidR="008D1CBB">
        <w:t xml:space="preserve">von Akteuren </w:t>
      </w:r>
      <w:r w:rsidRPr="00464DCA">
        <w:t xml:space="preserve">der ländlichen Gesundheitsversorgung </w:t>
      </w:r>
      <w:r w:rsidR="00D11DE1">
        <w:t xml:space="preserve">im </w:t>
      </w:r>
      <w:r w:rsidRPr="00501E55">
        <w:t>Dreiländereck</w:t>
      </w:r>
      <w:r w:rsidRPr="00464DCA">
        <w:t xml:space="preserve"> Rheinland-Pfalz, Hessen und Nordrhein-Westfalen. Gemeinsam mit niedergelassenen Ärztinnen und Ärzten</w:t>
      </w:r>
      <w:r w:rsidR="008D1CBB">
        <w:t>, Kliniken und Pflegeeinrichtungen</w:t>
      </w:r>
      <w:r w:rsidRPr="00464DCA">
        <w:t xml:space="preserve"> </w:t>
      </w:r>
      <w:r w:rsidR="00D11DE1">
        <w:t>sowie Kreisen und</w:t>
      </w:r>
      <w:r w:rsidRPr="00464DCA">
        <w:t xml:space="preserve"> Kommunen </w:t>
      </w:r>
      <w:r w:rsidR="00D11DE1">
        <w:t>werden in Forschungs- und Entwicklungsprojekten</w:t>
      </w:r>
      <w:r w:rsidRPr="00464DCA">
        <w:t xml:space="preserve"> digitale </w:t>
      </w:r>
      <w:r w:rsidRPr="00464DCA">
        <w:lastRenderedPageBreak/>
        <w:t>Lösungsansätze</w:t>
      </w:r>
      <w:r w:rsidR="00D11DE1">
        <w:t xml:space="preserve"> erprobt</w:t>
      </w:r>
      <w:r w:rsidRPr="00464DCA">
        <w:t xml:space="preserve">, die </w:t>
      </w:r>
      <w:r w:rsidR="00D11DE1">
        <w:t>zur Entwicklung einer Datenmedizin in der sektorenübergreifen, interprofessionellen Gesundheitsversorgung i</w:t>
      </w:r>
      <w:r w:rsidR="008D1CBB">
        <w:t>m</w:t>
      </w:r>
      <w:r w:rsidR="00D11DE1">
        <w:t xml:space="preserve"> ländlichen R</w:t>
      </w:r>
      <w:r w:rsidR="008D1CBB">
        <w:t>aum</w:t>
      </w:r>
      <w:r w:rsidR="00D11DE1">
        <w:t xml:space="preserve"> beitragen sollen</w:t>
      </w:r>
      <w:r w:rsidRPr="00464DCA">
        <w:t xml:space="preserve">. Ein erleichterter Zugang zu digitalen Innovationen </w:t>
      </w:r>
      <w:r w:rsidR="00D11DE1">
        <w:t>durch</w:t>
      </w:r>
      <w:r w:rsidRPr="00464DCA">
        <w:t xml:space="preserve"> die Entwicklung </w:t>
      </w:r>
      <w:r w:rsidR="00D11DE1">
        <w:t xml:space="preserve">digitaler Prozesse </w:t>
      </w:r>
      <w:r w:rsidRPr="00464DCA">
        <w:t xml:space="preserve">und </w:t>
      </w:r>
      <w:r w:rsidR="00D11DE1">
        <w:t xml:space="preserve">die Vermittlung von </w:t>
      </w:r>
      <w:r w:rsidRPr="00464DCA">
        <w:t>Anwendungskompetenzen spielen dabei eine entscheidende Rolle.</w:t>
      </w:r>
    </w:p>
    <w:sectPr w:rsidR="00464DCA" w:rsidRPr="00464DCA" w:rsidSect="00D90628">
      <w:headerReference w:type="default" r:id="rId8"/>
      <w:footerReference w:type="default" r:id="rId9"/>
      <w:pgSz w:w="11906" w:h="16838"/>
      <w:pgMar w:top="4111" w:right="1133" w:bottom="1701" w:left="1417" w:header="567" w:footer="445"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1428C47F" w14:textId="77777777" w:rsidR="009010D7" w:rsidRDefault="009010D7" w:rsidP="00323F10">
      <w:pPr>
        <w:spacing w:after="0" w:line="240" w:lineRule="auto"/>
      </w:pPr>
      <w:r>
        <w:separator/>
      </w:r>
    </w:p>
  </w:endnote>
  <w:endnote w:type="continuationSeparator" w:id="0">
    <w:p w14:paraId="57310887" w14:textId="77777777" w:rsidR="009010D7" w:rsidRDefault="009010D7" w:rsidP="00323F10">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000247B" w:usb2="00000009" w:usb3="00000000" w:csb0="000001FF" w:csb1="00000000"/>
  </w:font>
  <w:font w:name="Bliss 2 Medium">
    <w:panose1 w:val="00000000000000000000"/>
    <w:charset w:val="00"/>
    <w:family w:val="modern"/>
    <w:notTrueType/>
    <w:pitch w:val="variable"/>
    <w:sig w:usb0="A00000AF" w:usb1="5000204B" w:usb2="00000000" w:usb3="00000000" w:csb0="0000009B" w:csb1="00000000"/>
  </w:font>
  <w:font w:name="Bliss 2 Light">
    <w:altName w:val="Calibri"/>
    <w:panose1 w:val="00000000000000000000"/>
    <w:charset w:val="00"/>
    <w:family w:val="modern"/>
    <w:notTrueType/>
    <w:pitch w:val="variable"/>
    <w:sig w:usb0="A00000AF" w:usb1="5000204B" w:usb2="00000000" w:usb3="00000000" w:csb0="0000009B" w:csb1="00000000"/>
  </w:font>
  <w:font w:name="Yu Mincho">
    <w:altName w:val="游明朝"/>
    <w:charset w:val="80"/>
    <w:family w:val="roman"/>
    <w:pitch w:val="variable"/>
    <w:sig w:usb0="800002E7" w:usb1="2AC7FCFF"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sdt>
    <w:sdtPr>
      <w:id w:val="-1532642702"/>
      <w:docPartObj>
        <w:docPartGallery w:val="Page Numbers (Bottom of Page)"/>
        <w:docPartUnique/>
      </w:docPartObj>
    </w:sdtPr>
    <w:sdtEndPr/>
    <w:sdtContent>
      <w:p w14:paraId="27813DAC" w14:textId="77777777" w:rsidR="00E675A9" w:rsidRDefault="00E549E9" w:rsidP="00B537D8">
        <w:pPr>
          <w:pStyle w:val="Fuzeile"/>
          <w:jc w:val="right"/>
        </w:pPr>
        <w:r w:rsidRPr="00A25BA4">
          <w:rPr>
            <w:rFonts w:ascii="Bliss 2 Light" w:hAnsi="Bliss 2 Light"/>
            <w:noProof/>
          </w:rPr>
          <w:drawing>
            <wp:anchor distT="0" distB="0" distL="114300" distR="114300" simplePos="0" relativeHeight="251661312" behindDoc="1" locked="0" layoutInCell="1" allowOverlap="1" wp14:anchorId="4E2E9197" wp14:editId="6B942E70">
              <wp:simplePos x="0" y="0"/>
              <wp:positionH relativeFrom="column">
                <wp:posOffset>2653030</wp:posOffset>
              </wp:positionH>
              <wp:positionV relativeFrom="paragraph">
                <wp:posOffset>-178435</wp:posOffset>
              </wp:positionV>
              <wp:extent cx="1403350" cy="240276"/>
              <wp:effectExtent l="0" t="0" r="6350" b="7620"/>
              <wp:wrapNone/>
              <wp:docPr id="762" name="Grafik 7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403350" cy="240276"/>
                      </a:xfrm>
                      <a:prstGeom prst="rect">
                        <a:avLst/>
                      </a:prstGeom>
                      <a:noFill/>
                      <a:ln>
                        <a:noFill/>
                      </a:ln>
                    </pic:spPr>
                  </pic:pic>
                </a:graphicData>
              </a:graphic>
              <wp14:sizeRelH relativeFrom="margin">
                <wp14:pctWidth>0</wp14:pctWidth>
              </wp14:sizeRelH>
              <wp14:sizeRelV relativeFrom="margin">
                <wp14:pctHeight>0</wp14:pctHeight>
              </wp14:sizeRelV>
            </wp:anchor>
          </w:drawing>
        </w:r>
        <w:r w:rsidRPr="00A25BA4">
          <w:rPr>
            <w:rFonts w:ascii="Bliss 2 Light" w:hAnsi="Bliss 2 Light"/>
            <w:noProof/>
          </w:rPr>
          <w:drawing>
            <wp:anchor distT="0" distB="0" distL="114300" distR="114300" simplePos="0" relativeHeight="251660288" behindDoc="1" locked="0" layoutInCell="1" allowOverlap="1" wp14:anchorId="2EC65DB3" wp14:editId="0B055BCB">
              <wp:simplePos x="0" y="0"/>
              <wp:positionH relativeFrom="column">
                <wp:posOffset>1319530</wp:posOffset>
              </wp:positionH>
              <wp:positionV relativeFrom="paragraph">
                <wp:posOffset>-231140</wp:posOffset>
              </wp:positionV>
              <wp:extent cx="1006640" cy="292735"/>
              <wp:effectExtent l="0" t="0" r="3175" b="0"/>
              <wp:wrapNone/>
              <wp:docPr id="763" name="Grafik 7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010329" cy="293808"/>
                      </a:xfrm>
                      <a:prstGeom prst="rect">
                        <a:avLst/>
                      </a:prstGeom>
                      <a:noFill/>
                      <a:ln>
                        <a:noFill/>
                      </a:ln>
                    </pic:spPr>
                  </pic:pic>
                </a:graphicData>
              </a:graphic>
              <wp14:sizeRelH relativeFrom="page">
                <wp14:pctWidth>0</wp14:pctWidth>
              </wp14:sizeRelH>
              <wp14:sizeRelV relativeFrom="page">
                <wp14:pctHeight>0</wp14:pctHeight>
              </wp14:sizeRelV>
            </wp:anchor>
          </w:drawing>
        </w:r>
        <w:r w:rsidRPr="00A25BA4">
          <w:rPr>
            <w:rFonts w:ascii="Bliss 2 Light" w:hAnsi="Bliss 2 Light"/>
            <w:noProof/>
          </w:rPr>
          <w:drawing>
            <wp:anchor distT="0" distB="0" distL="114300" distR="114300" simplePos="0" relativeHeight="251659264" behindDoc="1" locked="0" layoutInCell="1" allowOverlap="1" wp14:anchorId="679F4453" wp14:editId="640D0C3A">
              <wp:simplePos x="0" y="0"/>
              <wp:positionH relativeFrom="margin">
                <wp:align>left</wp:align>
              </wp:positionH>
              <wp:positionV relativeFrom="paragraph">
                <wp:posOffset>-173990</wp:posOffset>
              </wp:positionV>
              <wp:extent cx="997200" cy="237600"/>
              <wp:effectExtent l="0" t="0" r="0" b="0"/>
              <wp:wrapNone/>
              <wp:docPr id="764" name="Grafik 7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997200" cy="237600"/>
                      </a:xfrm>
                      <a:prstGeom prst="rect">
                        <a:avLst/>
                      </a:prstGeom>
                      <a:noFill/>
                      <a:ln>
                        <a:noFill/>
                      </a:ln>
                    </pic:spPr>
                  </pic:pic>
                </a:graphicData>
              </a:graphic>
              <wp14:sizeRelH relativeFrom="page">
                <wp14:pctWidth>0</wp14:pctWidth>
              </wp14:sizeRelH>
              <wp14:sizeRelV relativeFrom="page">
                <wp14:pctHeight>0</wp14:pctHeight>
              </wp14:sizeRelV>
            </wp:anchor>
          </w:drawing>
        </w:r>
        <w:r w:rsidR="00B537D8" w:rsidRPr="00A25BA4">
          <w:rPr>
            <w:rFonts w:ascii="Bliss 2 Light" w:hAnsi="Bliss 2 Light"/>
          </w:rPr>
          <w:fldChar w:fldCharType="begin"/>
        </w:r>
        <w:r w:rsidR="00B537D8" w:rsidRPr="00A25BA4">
          <w:rPr>
            <w:rFonts w:ascii="Bliss 2 Light" w:hAnsi="Bliss 2 Light"/>
          </w:rPr>
          <w:instrText>PAGE   \* MERGEFORMAT</w:instrText>
        </w:r>
        <w:r w:rsidR="00B537D8" w:rsidRPr="00A25BA4">
          <w:rPr>
            <w:rFonts w:ascii="Bliss 2 Light" w:hAnsi="Bliss 2 Light"/>
          </w:rPr>
          <w:fldChar w:fldCharType="separate"/>
        </w:r>
        <w:r w:rsidR="00B537D8" w:rsidRPr="00A25BA4">
          <w:rPr>
            <w:rFonts w:ascii="Bliss 2 Light" w:hAnsi="Bliss 2 Light"/>
          </w:rPr>
          <w:t>2</w:t>
        </w:r>
        <w:r w:rsidR="00B537D8" w:rsidRPr="00A25BA4">
          <w:rPr>
            <w:rFonts w:ascii="Bliss 2 Light" w:hAnsi="Bliss 2 Light"/>
          </w:rPr>
          <w:fldChar w:fldCharType="end"/>
        </w:r>
      </w:p>
    </w:sdtContent>
  </w:sdt>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38F01E96" w14:textId="77777777" w:rsidR="009010D7" w:rsidRDefault="009010D7" w:rsidP="00323F10">
      <w:pPr>
        <w:spacing w:after="0" w:line="240" w:lineRule="auto"/>
      </w:pPr>
      <w:r>
        <w:separator/>
      </w:r>
    </w:p>
  </w:footnote>
  <w:footnote w:type="continuationSeparator" w:id="0">
    <w:p w14:paraId="0E65CAF9" w14:textId="77777777" w:rsidR="009010D7" w:rsidRDefault="009010D7" w:rsidP="00323F10">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310A5CED" w14:textId="77777777" w:rsidR="00E675A9" w:rsidRPr="00501E55" w:rsidRDefault="00E675A9">
    <w:pPr>
      <w:pStyle w:val="Kopfzeile"/>
      <w:rPr>
        <w:sz w:val="154"/>
        <w:szCs w:val="154"/>
      </w:rPr>
    </w:pPr>
  </w:p>
  <w:p w14:paraId="759BB062" w14:textId="77777777" w:rsidR="00403EC2" w:rsidRPr="004A6070" w:rsidRDefault="00323F10" w:rsidP="004A6070">
    <w:pPr>
      <w:pStyle w:val="Kopfzeile"/>
      <w:rPr>
        <w:rFonts w:cs="Calibri"/>
        <w:color w:val="808080" w:themeColor="background1" w:themeShade="80"/>
        <w:spacing w:val="20"/>
        <w:sz w:val="26"/>
        <w:szCs w:val="26"/>
      </w:rPr>
    </w:pPr>
    <w:r w:rsidRPr="00501E55">
      <w:rPr>
        <w:rFonts w:cs="Calibri"/>
        <w:noProof/>
        <w:color w:val="808080" w:themeColor="background1" w:themeShade="80"/>
        <w:spacing w:val="20"/>
        <w:sz w:val="26"/>
        <w:szCs w:val="26"/>
      </w:rPr>
      <w:drawing>
        <wp:anchor distT="0" distB="0" distL="0" distR="0" simplePos="0" relativeHeight="251658240" behindDoc="1" locked="0" layoutInCell="1" allowOverlap="1" wp14:anchorId="595DC330" wp14:editId="7D15F395">
          <wp:simplePos x="0" y="0"/>
          <wp:positionH relativeFrom="margin">
            <wp:align>right</wp:align>
          </wp:positionH>
          <wp:positionV relativeFrom="page">
            <wp:posOffset>360045</wp:posOffset>
          </wp:positionV>
          <wp:extent cx="2448000" cy="1321200"/>
          <wp:effectExtent l="0" t="0" r="0" b="0"/>
          <wp:wrapTight wrapText="bothSides">
            <wp:wrapPolygon edited="0">
              <wp:start x="0" y="0"/>
              <wp:lineTo x="0" y="21185"/>
              <wp:lineTo x="21348" y="21185"/>
              <wp:lineTo x="21348" y="0"/>
              <wp:lineTo x="0" y="0"/>
            </wp:wrapPolygon>
          </wp:wrapTight>
          <wp:docPr id="761" name="Grafik 7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DMG-3LE_Logo.jpg"/>
                  <pic:cNvPicPr/>
                </pic:nvPicPr>
                <pic:blipFill>
                  <a:blip r:embed="rId1">
                    <a:extLst>
                      <a:ext uri="{28A0092B-C50C-407E-A947-70E740481C1C}">
                        <a14:useLocalDpi xmlns:a14="http://schemas.microsoft.com/office/drawing/2010/main" val="0"/>
                      </a:ext>
                    </a:extLst>
                  </a:blip>
                  <a:stretch>
                    <a:fillRect/>
                  </a:stretch>
                </pic:blipFill>
                <pic:spPr>
                  <a:xfrm>
                    <a:off x="0" y="0"/>
                    <a:ext cx="2448000" cy="1321200"/>
                  </a:xfrm>
                  <a:prstGeom prst="rect">
                    <a:avLst/>
                  </a:prstGeom>
                </pic:spPr>
              </pic:pic>
            </a:graphicData>
          </a:graphic>
          <wp14:sizeRelH relativeFrom="margin">
            <wp14:pctWidth>0</wp14:pctWidth>
          </wp14:sizeRelH>
          <wp14:sizeRelV relativeFrom="margin">
            <wp14:pctHeight>0</wp14:pctHeight>
          </wp14:sizeRelV>
        </wp:anchor>
      </w:drawing>
    </w:r>
    <w:r w:rsidR="00B537D8" w:rsidRPr="00501E55">
      <w:rPr>
        <w:rFonts w:cs="Calibri"/>
        <w:color w:val="808080" w:themeColor="background1" w:themeShade="80"/>
        <w:spacing w:val="20"/>
        <w:sz w:val="26"/>
        <w:szCs w:val="26"/>
      </w:rPr>
      <w:t xml:space="preserve">AKTUELLE </w:t>
    </w:r>
    <w:r w:rsidR="00E675A9" w:rsidRPr="00501E55">
      <w:rPr>
        <w:rFonts w:cs="Calibri"/>
        <w:color w:val="808080" w:themeColor="background1" w:themeShade="80"/>
        <w:spacing w:val="20"/>
        <w:sz w:val="26"/>
        <w:szCs w:val="26"/>
      </w:rPr>
      <w:t>MELDUNG</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100"/>
  <w:removePersonalInformation/>
  <w:removeDateAndTime/>
  <w:proofState w:spelling="clean"/>
  <w:defaultTabStop w:val="708"/>
  <w:hyphenationZone w:val="425"/>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323F10"/>
    <w:rsid w:val="0002697F"/>
    <w:rsid w:val="000276B2"/>
    <w:rsid w:val="000755A8"/>
    <w:rsid w:val="00084105"/>
    <w:rsid w:val="000A5FA1"/>
    <w:rsid w:val="00113383"/>
    <w:rsid w:val="002B7103"/>
    <w:rsid w:val="002C2B2C"/>
    <w:rsid w:val="002E6F83"/>
    <w:rsid w:val="00323F10"/>
    <w:rsid w:val="00357890"/>
    <w:rsid w:val="003A7427"/>
    <w:rsid w:val="00402D0C"/>
    <w:rsid w:val="00403EC2"/>
    <w:rsid w:val="004574E2"/>
    <w:rsid w:val="00464DCA"/>
    <w:rsid w:val="004A6070"/>
    <w:rsid w:val="004B59C8"/>
    <w:rsid w:val="004F52EB"/>
    <w:rsid w:val="00501E55"/>
    <w:rsid w:val="00586492"/>
    <w:rsid w:val="00637F96"/>
    <w:rsid w:val="00651525"/>
    <w:rsid w:val="006B7C8A"/>
    <w:rsid w:val="007D7284"/>
    <w:rsid w:val="0081775F"/>
    <w:rsid w:val="008B54CF"/>
    <w:rsid w:val="008D1CBB"/>
    <w:rsid w:val="008F5177"/>
    <w:rsid w:val="009010D7"/>
    <w:rsid w:val="00972B19"/>
    <w:rsid w:val="00A25BA4"/>
    <w:rsid w:val="00AC1189"/>
    <w:rsid w:val="00B537D8"/>
    <w:rsid w:val="00B56CA1"/>
    <w:rsid w:val="00C43191"/>
    <w:rsid w:val="00CA1272"/>
    <w:rsid w:val="00CA17F9"/>
    <w:rsid w:val="00D11DE1"/>
    <w:rsid w:val="00D6371B"/>
    <w:rsid w:val="00D85BD8"/>
    <w:rsid w:val="00D90628"/>
    <w:rsid w:val="00E549E9"/>
    <w:rsid w:val="00E675A9"/>
    <w:rsid w:val="00EC09F8"/>
    <w:rsid w:val="00F07349"/>
    <w:rsid w:val="00F45FC2"/>
    <w:rsid w:val="00F672EF"/>
    <w:rsid w:val="00F711CD"/>
    <w:rsid w:val="00F9697A"/>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4A511687"/>
  <w15:chartTrackingRefBas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eastAsiaTheme="minorHAnsi" w:hAnsiTheme="minorHAnsi" w:cstheme="minorBidi"/>
        <w:sz w:val="22"/>
        <w:szCs w:val="22"/>
        <w:lang w:val="de-DE"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aliases w:val="Teaser-DMGD"/>
    <w:qFormat/>
    <w:rsid w:val="00501E55"/>
    <w:rPr>
      <w:rFonts w:ascii="Calibri" w:hAnsi="Calibri"/>
      <w:b/>
      <w:sz w:val="20"/>
    </w:rPr>
  </w:style>
  <w:style w:type="paragraph" w:styleId="berschrift1">
    <w:name w:val="heading 1"/>
    <w:aliases w:val="H1-DMGD"/>
    <w:basedOn w:val="Fliesstext-DMGD"/>
    <w:next w:val="Standard"/>
    <w:link w:val="berschrift1Zchn"/>
    <w:uiPriority w:val="9"/>
    <w:qFormat/>
    <w:rsid w:val="00501E55"/>
    <w:pPr>
      <w:keepNext/>
      <w:keepLines/>
      <w:spacing w:before="240" w:after="0"/>
      <w:outlineLvl w:val="0"/>
    </w:pPr>
    <w:rPr>
      <w:rFonts w:eastAsiaTheme="majorEastAsia" w:cstheme="majorBidi"/>
      <w:b/>
      <w:sz w:val="32"/>
      <w:szCs w:val="32"/>
    </w:rPr>
  </w:style>
  <w:style w:type="paragraph" w:styleId="berschrift2">
    <w:name w:val="heading 2"/>
    <w:aliases w:val="H2-DMGD"/>
    <w:basedOn w:val="Standard"/>
    <w:next w:val="Standard"/>
    <w:link w:val="berschrift2Zchn"/>
    <w:uiPriority w:val="9"/>
    <w:unhideWhenUsed/>
    <w:qFormat/>
    <w:rsid w:val="00501E55"/>
    <w:pPr>
      <w:keepNext/>
      <w:keepLines/>
      <w:spacing w:before="40" w:after="0"/>
      <w:outlineLvl w:val="1"/>
    </w:pPr>
    <w:rPr>
      <w:rFonts w:eastAsiaTheme="majorEastAsia" w:cstheme="majorBidi"/>
      <w:sz w:val="24"/>
      <w:szCs w:val="26"/>
    </w:rPr>
  </w:style>
  <w:style w:type="paragraph" w:styleId="berschrift3">
    <w:name w:val="heading 3"/>
    <w:basedOn w:val="Standard"/>
    <w:next w:val="Standard"/>
    <w:link w:val="berschrift3Zchn"/>
    <w:uiPriority w:val="9"/>
    <w:unhideWhenUsed/>
    <w:qFormat/>
    <w:rsid w:val="00402D0C"/>
    <w:pPr>
      <w:keepNext/>
      <w:keepLines/>
      <w:spacing w:before="40" w:after="0"/>
      <w:outlineLvl w:val="2"/>
    </w:pPr>
    <w:rPr>
      <w:rFonts w:asciiTheme="majorHAnsi" w:eastAsiaTheme="majorEastAsia" w:hAnsiTheme="majorHAnsi" w:cstheme="majorBidi"/>
      <w:color w:val="1F3763" w:themeColor="accent1" w:themeShade="7F"/>
      <w:sz w:val="24"/>
      <w:szCs w:val="24"/>
    </w:rPr>
  </w:style>
  <w:style w:type="paragraph" w:styleId="berschrift4">
    <w:name w:val="heading 4"/>
    <w:basedOn w:val="Standard"/>
    <w:next w:val="Standard"/>
    <w:link w:val="berschrift4Zchn"/>
    <w:uiPriority w:val="9"/>
    <w:semiHidden/>
    <w:unhideWhenUsed/>
    <w:qFormat/>
    <w:rsid w:val="002B7103"/>
    <w:pPr>
      <w:keepNext/>
      <w:keepLines/>
      <w:spacing w:before="40" w:after="0"/>
      <w:outlineLvl w:val="3"/>
    </w:pPr>
    <w:rPr>
      <w:rFonts w:asciiTheme="majorHAnsi" w:eastAsiaTheme="majorEastAsia" w:hAnsiTheme="majorHAnsi" w:cstheme="majorBidi"/>
      <w:i/>
      <w:iCs/>
      <w:color w:val="2F5496" w:themeColor="accent1" w:themeShade="BF"/>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323F10"/>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323F10"/>
  </w:style>
  <w:style w:type="paragraph" w:styleId="Fuzeile">
    <w:name w:val="footer"/>
    <w:basedOn w:val="Standard"/>
    <w:link w:val="FuzeileZchn"/>
    <w:uiPriority w:val="99"/>
    <w:unhideWhenUsed/>
    <w:rsid w:val="00323F10"/>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323F10"/>
  </w:style>
  <w:style w:type="character" w:customStyle="1" w:styleId="berschrift1Zchn">
    <w:name w:val="Überschrift 1 Zchn"/>
    <w:aliases w:val="H1-DMGD Zchn"/>
    <w:basedOn w:val="Absatz-Standardschriftart"/>
    <w:link w:val="berschrift1"/>
    <w:uiPriority w:val="9"/>
    <w:rsid w:val="00501E55"/>
    <w:rPr>
      <w:rFonts w:ascii="Calibri" w:eastAsiaTheme="majorEastAsia" w:hAnsi="Calibri" w:cstheme="majorBidi"/>
      <w:b/>
      <w:sz w:val="32"/>
      <w:szCs w:val="32"/>
    </w:rPr>
  </w:style>
  <w:style w:type="character" w:customStyle="1" w:styleId="berschrift2Zchn">
    <w:name w:val="Überschrift 2 Zchn"/>
    <w:aliases w:val="H2-DMGD Zchn"/>
    <w:basedOn w:val="Absatz-Standardschriftart"/>
    <w:link w:val="berschrift2"/>
    <w:uiPriority w:val="9"/>
    <w:rsid w:val="00501E55"/>
    <w:rPr>
      <w:rFonts w:ascii="Calibri" w:eastAsiaTheme="majorEastAsia" w:hAnsi="Calibri" w:cstheme="majorBidi"/>
      <w:b/>
      <w:sz w:val="24"/>
      <w:szCs w:val="26"/>
    </w:rPr>
  </w:style>
  <w:style w:type="paragraph" w:customStyle="1" w:styleId="Fliesstext-DMGD">
    <w:name w:val="Fliesstext-DMGD"/>
    <w:basedOn w:val="Standard"/>
    <w:link w:val="Fliesstext-DMGDZchn"/>
    <w:qFormat/>
    <w:rsid w:val="00501E55"/>
    <w:pPr>
      <w:spacing w:line="276" w:lineRule="auto"/>
    </w:pPr>
    <w:rPr>
      <w:b w:val="0"/>
      <w:szCs w:val="20"/>
    </w:rPr>
  </w:style>
  <w:style w:type="character" w:styleId="Hyperlink">
    <w:name w:val="Hyperlink"/>
    <w:basedOn w:val="Absatz-Standardschriftart"/>
    <w:uiPriority w:val="99"/>
    <w:unhideWhenUsed/>
    <w:rsid w:val="00403EC2"/>
    <w:rPr>
      <w:color w:val="0563C1" w:themeColor="hyperlink"/>
      <w:u w:val="single"/>
    </w:rPr>
  </w:style>
  <w:style w:type="character" w:customStyle="1" w:styleId="Fliesstext-DMGDZchn">
    <w:name w:val="Fliesstext-DMGD Zchn"/>
    <w:basedOn w:val="Absatz-Standardschriftart"/>
    <w:link w:val="Fliesstext-DMGD"/>
    <w:rsid w:val="00501E55"/>
    <w:rPr>
      <w:rFonts w:ascii="Calibri" w:hAnsi="Calibri"/>
      <w:sz w:val="20"/>
      <w:szCs w:val="20"/>
    </w:rPr>
  </w:style>
  <w:style w:type="character" w:styleId="NichtaufgelsteErwhnung">
    <w:name w:val="Unresolved Mention"/>
    <w:basedOn w:val="Absatz-Standardschriftart"/>
    <w:uiPriority w:val="99"/>
    <w:semiHidden/>
    <w:unhideWhenUsed/>
    <w:rsid w:val="00403EC2"/>
    <w:rPr>
      <w:color w:val="605E5C"/>
      <w:shd w:val="clear" w:color="auto" w:fill="E1DFDD"/>
    </w:rPr>
  </w:style>
  <w:style w:type="table" w:styleId="Tabellenraster">
    <w:name w:val="Table Grid"/>
    <w:basedOn w:val="NormaleTabelle"/>
    <w:uiPriority w:val="39"/>
    <w:rsid w:val="00B56CA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KeinLeerraum">
    <w:name w:val="No Spacing"/>
    <w:uiPriority w:val="1"/>
    <w:rsid w:val="00402D0C"/>
    <w:pPr>
      <w:spacing w:after="0" w:line="240" w:lineRule="auto"/>
    </w:pPr>
    <w:rPr>
      <w:rFonts w:ascii="Bliss 2 Medium" w:hAnsi="Bliss 2 Medium"/>
      <w:sz w:val="20"/>
    </w:rPr>
  </w:style>
  <w:style w:type="character" w:customStyle="1" w:styleId="berschrift3Zchn">
    <w:name w:val="Überschrift 3 Zchn"/>
    <w:basedOn w:val="Absatz-Standardschriftart"/>
    <w:link w:val="berschrift3"/>
    <w:uiPriority w:val="9"/>
    <w:rsid w:val="00402D0C"/>
    <w:rPr>
      <w:rFonts w:asciiTheme="majorHAnsi" w:eastAsiaTheme="majorEastAsia" w:hAnsiTheme="majorHAnsi" w:cstheme="majorBidi"/>
      <w:color w:val="1F3763" w:themeColor="accent1" w:themeShade="7F"/>
      <w:sz w:val="24"/>
      <w:szCs w:val="24"/>
    </w:rPr>
  </w:style>
  <w:style w:type="paragraph" w:styleId="Sprechblasentext">
    <w:name w:val="Balloon Text"/>
    <w:basedOn w:val="Standard"/>
    <w:link w:val="SprechblasentextZchn"/>
    <w:uiPriority w:val="99"/>
    <w:semiHidden/>
    <w:unhideWhenUsed/>
    <w:rsid w:val="00D11DE1"/>
    <w:pPr>
      <w:spacing w:after="0" w:line="240" w:lineRule="auto"/>
    </w:pPr>
    <w:rPr>
      <w:rFonts w:ascii="Times New Roman" w:hAnsi="Times New Roman" w:cs="Times New Roman"/>
      <w:sz w:val="18"/>
      <w:szCs w:val="18"/>
    </w:rPr>
  </w:style>
  <w:style w:type="character" w:customStyle="1" w:styleId="SprechblasentextZchn">
    <w:name w:val="Sprechblasentext Zchn"/>
    <w:basedOn w:val="Absatz-Standardschriftart"/>
    <w:link w:val="Sprechblasentext"/>
    <w:uiPriority w:val="99"/>
    <w:semiHidden/>
    <w:rsid w:val="00D11DE1"/>
    <w:rPr>
      <w:rFonts w:ascii="Times New Roman" w:hAnsi="Times New Roman" w:cs="Times New Roman"/>
      <w:b/>
      <w:sz w:val="18"/>
      <w:szCs w:val="18"/>
    </w:rPr>
  </w:style>
  <w:style w:type="character" w:customStyle="1" w:styleId="berschrift4Zchn">
    <w:name w:val="Überschrift 4 Zchn"/>
    <w:basedOn w:val="Absatz-Standardschriftart"/>
    <w:link w:val="berschrift4"/>
    <w:uiPriority w:val="9"/>
    <w:semiHidden/>
    <w:rsid w:val="002B7103"/>
    <w:rPr>
      <w:rFonts w:asciiTheme="majorHAnsi" w:eastAsiaTheme="majorEastAsia" w:hAnsiTheme="majorHAnsi" w:cstheme="majorBidi"/>
      <w:b/>
      <w:i/>
      <w:iCs/>
      <w:color w:val="2F5496" w:themeColor="accent1" w:themeShade="BF"/>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optimizeForBrowser/>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webSettings" Target="webSettings.xml"/><Relationship Id="rId7" Type="http://schemas.openxmlformats.org/officeDocument/2006/relationships/hyperlink" Target="http://www.dmgd.de" TargetMode="Externa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hyperlink" Target="https://fokos.de/projekt/dmgd-digidocs/" TargetMode="External"/><Relationship Id="rId11" Type="http://schemas.openxmlformats.org/officeDocument/2006/relationships/theme" Target="theme/theme1.xml"/><Relationship Id="rId5" Type="http://schemas.openxmlformats.org/officeDocument/2006/relationships/endnotes" Target="endnotes.xml"/><Relationship Id="rId10" Type="http://schemas.openxmlformats.org/officeDocument/2006/relationships/fontTable" Target="fontTable.xml"/><Relationship Id="rId4" Type="http://schemas.openxmlformats.org/officeDocument/2006/relationships/footnotes" Target="footnotes.xml"/><Relationship Id="rId9" Type="http://schemas.openxmlformats.org/officeDocument/2006/relationships/footer" Target="footer1.xml"/></Relationships>
</file>

<file path=word/_rels/foot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jpeg"/><Relationship Id="rId1" Type="http://schemas.openxmlformats.org/officeDocument/2006/relationships/image" Target="media/image2.jpeg"/></Relationships>
</file>

<file path=word/_rels/header1.xml.rels><?xml version="1.0" encoding="UTF-8" standalone="yes"?>
<Relationships xmlns="http://schemas.openxmlformats.org/package/2006/relationships"><Relationship Id="rId1" Type="http://schemas.openxmlformats.org/officeDocument/2006/relationships/image" Target="media/image1.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3</Pages>
  <Words>804</Words>
  <Characters>5070</Characters>
  <Application>Microsoft Office Word</Application>
  <DocSecurity>0</DocSecurity>
  <Lines>42</Lines>
  <Paragraphs>11</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5863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dc:description/>
  <cp:lastModifiedBy/>
  <cp:revision>1</cp:revision>
  <dcterms:created xsi:type="dcterms:W3CDTF">2021-02-25T10:10:00Z</dcterms:created>
  <dcterms:modified xsi:type="dcterms:W3CDTF">2021-02-26T14:58:00Z</dcterms:modified>
</cp:coreProperties>
</file>