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CAB01D" w14:textId="15096624" w:rsidR="00B65710" w:rsidRDefault="00A13331">
      <w:pPr>
        <w:pStyle w:val="berschrift1"/>
      </w:pPr>
      <w:r w:rsidRPr="00A13331">
        <w:t>Ärzte aus dem Lahn-Dill-Kreis diskutieren Kooperation mit DMGD der Universität Siegen</w:t>
      </w:r>
      <w:r w:rsidR="00A97B1B">
        <w:t xml:space="preserve"> </w:t>
      </w:r>
    </w:p>
    <w:p w14:paraId="31D303CE" w14:textId="77777777" w:rsidR="00B65710" w:rsidRDefault="00B65710">
      <w:pPr>
        <w:spacing w:line="276" w:lineRule="auto"/>
        <w:rPr>
          <w:color w:val="808080"/>
        </w:rPr>
      </w:pPr>
    </w:p>
    <w:p w14:paraId="0745C351" w14:textId="67CBF095" w:rsidR="00B65710" w:rsidRDefault="00A13331">
      <w:pPr>
        <w:spacing w:line="276" w:lineRule="auto"/>
        <w:rPr>
          <w:color w:val="808080"/>
        </w:rPr>
      </w:pPr>
      <w:r>
        <w:rPr>
          <w:color w:val="808080" w:themeColor="background1" w:themeShade="80"/>
        </w:rPr>
        <w:t>15</w:t>
      </w:r>
      <w:r w:rsidR="00A97B1B">
        <w:rPr>
          <w:color w:val="808080" w:themeColor="background1" w:themeShade="80"/>
        </w:rPr>
        <w:t>. M</w:t>
      </w:r>
      <w:r>
        <w:rPr>
          <w:color w:val="808080" w:themeColor="background1" w:themeShade="80"/>
        </w:rPr>
        <w:t>ärz</w:t>
      </w:r>
      <w:r w:rsidR="00A97B1B">
        <w:rPr>
          <w:color w:val="808080" w:themeColor="background1" w:themeShade="80"/>
        </w:rPr>
        <w:t xml:space="preserve"> 2020 | </w:t>
      </w:r>
      <w:r>
        <w:rPr>
          <w:color w:val="808080" w:themeColor="background1" w:themeShade="80"/>
        </w:rPr>
        <w:t xml:space="preserve">F. </w:t>
      </w:r>
      <w:proofErr w:type="spellStart"/>
      <w:r>
        <w:rPr>
          <w:color w:val="808080" w:themeColor="background1" w:themeShade="80"/>
        </w:rPr>
        <w:t>Walsdorff</w:t>
      </w:r>
      <w:proofErr w:type="spellEnd"/>
    </w:p>
    <w:p w14:paraId="5E0A89D7" w14:textId="77777777" w:rsidR="00A13331" w:rsidRDefault="00A13331">
      <w:pPr>
        <w:pStyle w:val="Fliesstext-DMGD"/>
        <w:rPr>
          <w:rFonts w:eastAsia="Times New Roman"/>
          <w:b/>
          <w:bCs/>
          <w:sz w:val="22"/>
          <w:szCs w:val="22"/>
          <w:lang w:eastAsia="ja-JP"/>
        </w:rPr>
      </w:pPr>
      <w:r w:rsidRPr="00206774">
        <w:rPr>
          <w:rFonts w:eastAsia="Times New Roman"/>
          <w:b/>
          <w:bCs/>
          <w:sz w:val="22"/>
          <w:szCs w:val="22"/>
          <w:lang w:eastAsia="ja-JP"/>
        </w:rPr>
        <w:t>Vertreter der Haus- und Fachärzte des Lahn-Dill-Kreises</w:t>
      </w:r>
      <w:r>
        <w:rPr>
          <w:rFonts w:eastAsia="Times New Roman"/>
          <w:b/>
          <w:bCs/>
          <w:sz w:val="22"/>
          <w:szCs w:val="22"/>
          <w:lang w:eastAsia="ja-JP"/>
        </w:rPr>
        <w:t xml:space="preserve"> und Vertreter</w:t>
      </w:r>
      <w:r w:rsidRPr="00206774">
        <w:rPr>
          <w:rFonts w:eastAsia="Times New Roman"/>
          <w:b/>
          <w:bCs/>
          <w:sz w:val="22"/>
          <w:szCs w:val="22"/>
          <w:lang w:eastAsia="ja-JP"/>
        </w:rPr>
        <w:t xml:space="preserve"> der </w:t>
      </w:r>
      <w:r>
        <w:rPr>
          <w:rFonts w:eastAsia="Times New Roman"/>
          <w:b/>
          <w:bCs/>
          <w:sz w:val="22"/>
          <w:szCs w:val="22"/>
          <w:lang w:eastAsia="ja-JP"/>
        </w:rPr>
        <w:t>„</w:t>
      </w:r>
      <w:r w:rsidRPr="00206774">
        <w:rPr>
          <w:rFonts w:eastAsia="Times New Roman"/>
          <w:b/>
          <w:bCs/>
          <w:sz w:val="22"/>
          <w:szCs w:val="22"/>
          <w:lang w:eastAsia="ja-JP"/>
        </w:rPr>
        <w:t>Digitalen Modellregion Gesundheit Dreiländereck</w:t>
      </w:r>
      <w:r>
        <w:rPr>
          <w:rFonts w:eastAsia="Times New Roman"/>
          <w:b/>
          <w:bCs/>
          <w:sz w:val="22"/>
          <w:szCs w:val="22"/>
          <w:lang w:eastAsia="ja-JP"/>
        </w:rPr>
        <w:t>“ (DMGD)</w:t>
      </w:r>
      <w:r w:rsidRPr="00206774">
        <w:rPr>
          <w:rFonts w:eastAsia="Times New Roman"/>
          <w:b/>
          <w:bCs/>
          <w:sz w:val="22"/>
          <w:szCs w:val="22"/>
          <w:lang w:eastAsia="ja-JP"/>
        </w:rPr>
        <w:t xml:space="preserve"> </w:t>
      </w:r>
      <w:r>
        <w:rPr>
          <w:rFonts w:eastAsia="Times New Roman"/>
          <w:b/>
          <w:bCs/>
          <w:sz w:val="22"/>
          <w:szCs w:val="22"/>
          <w:lang w:eastAsia="ja-JP"/>
        </w:rPr>
        <w:t xml:space="preserve">an der Lebenswissenschaftlichen Fakultät (LWF) der Universität Siegen haben jüngst einen gemeinsamen Workshop genutzt, um sich zu vernetzen. </w:t>
      </w:r>
      <w:r w:rsidRPr="00206774">
        <w:rPr>
          <w:rFonts w:eastAsia="Times New Roman"/>
          <w:b/>
          <w:bCs/>
          <w:sz w:val="22"/>
          <w:szCs w:val="22"/>
          <w:lang w:eastAsia="ja-JP"/>
        </w:rPr>
        <w:t xml:space="preserve">Im Zentrum stand </w:t>
      </w:r>
      <w:r>
        <w:rPr>
          <w:rFonts w:eastAsia="Times New Roman"/>
          <w:b/>
          <w:bCs/>
          <w:sz w:val="22"/>
          <w:szCs w:val="22"/>
          <w:lang w:eastAsia="ja-JP"/>
        </w:rPr>
        <w:t xml:space="preserve">dabei </w:t>
      </w:r>
      <w:r w:rsidRPr="00206774">
        <w:rPr>
          <w:rFonts w:eastAsia="Times New Roman"/>
          <w:b/>
          <w:bCs/>
          <w:sz w:val="22"/>
          <w:szCs w:val="22"/>
          <w:lang w:eastAsia="ja-JP"/>
        </w:rPr>
        <w:t>eine mögliche Kooperation im Rahmen des Projektantrags „</w:t>
      </w:r>
      <w:proofErr w:type="spellStart"/>
      <w:r w:rsidRPr="00206774">
        <w:rPr>
          <w:rFonts w:eastAsia="Times New Roman"/>
          <w:b/>
          <w:bCs/>
          <w:sz w:val="22"/>
          <w:szCs w:val="22"/>
          <w:lang w:eastAsia="ja-JP"/>
        </w:rPr>
        <w:t>DataHealth</w:t>
      </w:r>
      <w:proofErr w:type="spellEnd"/>
      <w:r w:rsidRPr="00206774">
        <w:rPr>
          <w:rFonts w:eastAsia="Times New Roman"/>
          <w:b/>
          <w:bCs/>
          <w:sz w:val="22"/>
          <w:szCs w:val="22"/>
          <w:lang w:eastAsia="ja-JP"/>
        </w:rPr>
        <w:t xml:space="preserve"> Interregio“</w:t>
      </w:r>
      <w:r>
        <w:rPr>
          <w:rFonts w:eastAsia="Times New Roman"/>
          <w:b/>
          <w:bCs/>
          <w:sz w:val="22"/>
          <w:szCs w:val="22"/>
          <w:lang w:eastAsia="ja-JP"/>
        </w:rPr>
        <w:t>, der im Juli als Vollantrag</w:t>
      </w:r>
      <w:r w:rsidRPr="00206774">
        <w:rPr>
          <w:rFonts w:eastAsia="Times New Roman"/>
          <w:b/>
          <w:bCs/>
          <w:sz w:val="22"/>
          <w:szCs w:val="22"/>
          <w:lang w:eastAsia="ja-JP"/>
        </w:rPr>
        <w:t xml:space="preserve"> beim Innovationsausschuss des Gemeinsamen Bundesausschusses</w:t>
      </w:r>
      <w:r>
        <w:rPr>
          <w:rFonts w:eastAsia="Times New Roman"/>
          <w:b/>
          <w:bCs/>
          <w:sz w:val="22"/>
          <w:szCs w:val="22"/>
          <w:lang w:eastAsia="ja-JP"/>
        </w:rPr>
        <w:t xml:space="preserve"> eingereicht wird</w:t>
      </w:r>
      <w:r w:rsidRPr="00206774">
        <w:rPr>
          <w:rFonts w:eastAsia="Times New Roman"/>
          <w:b/>
          <w:bCs/>
          <w:sz w:val="22"/>
          <w:szCs w:val="22"/>
          <w:lang w:eastAsia="ja-JP"/>
        </w:rPr>
        <w:t>.</w:t>
      </w:r>
    </w:p>
    <w:p w14:paraId="3456984B" w14:textId="77777777" w:rsidR="00A13331" w:rsidRPr="00A13331" w:rsidRDefault="00A13331" w:rsidP="00A13331">
      <w:pPr>
        <w:spacing w:before="100" w:beforeAutospacing="1" w:after="100" w:afterAutospacing="1"/>
        <w:jc w:val="both"/>
        <w:rPr>
          <w:rFonts w:eastAsia="Times New Roman"/>
          <w:b w:val="0"/>
          <w:bCs/>
          <w:sz w:val="22"/>
          <w:lang w:eastAsia="ja-JP"/>
        </w:rPr>
      </w:pPr>
      <w:r w:rsidRPr="00A13331">
        <w:rPr>
          <w:rFonts w:eastAsia="Times New Roman"/>
          <w:b w:val="0"/>
          <w:bCs/>
          <w:sz w:val="22"/>
          <w:lang w:eastAsia="ja-JP"/>
        </w:rPr>
        <w:t>Im August 2020 wurde die Projektskizze „</w:t>
      </w:r>
      <w:proofErr w:type="spellStart"/>
      <w:r w:rsidRPr="00A13331">
        <w:rPr>
          <w:rFonts w:eastAsia="Times New Roman"/>
          <w:b w:val="0"/>
          <w:bCs/>
          <w:sz w:val="22"/>
          <w:lang w:eastAsia="ja-JP"/>
        </w:rPr>
        <w:t>DataHealth</w:t>
      </w:r>
      <w:proofErr w:type="spellEnd"/>
      <w:r w:rsidRPr="00A13331">
        <w:rPr>
          <w:rFonts w:eastAsia="Times New Roman"/>
          <w:b w:val="0"/>
          <w:bCs/>
          <w:sz w:val="22"/>
          <w:lang w:eastAsia="ja-JP"/>
        </w:rPr>
        <w:t xml:space="preserve"> Interregio“ beim Innovationsausschuss des Gemeinsamen Bundesausschusses (G-BA) </w:t>
      </w:r>
      <w:hyperlink r:id="rId6" w:history="1">
        <w:r w:rsidRPr="00A13331">
          <w:rPr>
            <w:rStyle w:val="Hyperlink"/>
            <w:rFonts w:eastAsia="Times New Roman"/>
            <w:b w:val="0"/>
            <w:bCs/>
            <w:sz w:val="22"/>
            <w:lang w:eastAsia="ja-JP"/>
          </w:rPr>
          <w:t>zur Förderung durch den Innovationsfonds eingereicht</w:t>
        </w:r>
      </w:hyperlink>
      <w:r w:rsidRPr="00A13331">
        <w:rPr>
          <w:rFonts w:eastAsia="Times New Roman"/>
          <w:b w:val="0"/>
          <w:bCs/>
          <w:sz w:val="22"/>
          <w:lang w:eastAsia="ja-JP"/>
        </w:rPr>
        <w:t xml:space="preserve">. Anfang 2021 hatte das Projekt, dessen Ziel die Weiterentwicklung der digital‐unterstützten haus‐ und fachärztlichen Gesundheitsversorgung im ländlichen Raum ist, dann die </w:t>
      </w:r>
      <w:hyperlink r:id="rId7" w:history="1">
        <w:r w:rsidRPr="00A13331">
          <w:rPr>
            <w:rStyle w:val="Hyperlink"/>
            <w:rFonts w:eastAsia="Times New Roman"/>
            <w:b w:val="0"/>
            <w:bCs/>
            <w:sz w:val="22"/>
            <w:lang w:eastAsia="ja-JP"/>
          </w:rPr>
          <w:t>Aufforderung zum Vollantrag erhalten</w:t>
        </w:r>
      </w:hyperlink>
      <w:r w:rsidRPr="00A13331">
        <w:rPr>
          <w:rFonts w:eastAsia="Times New Roman"/>
          <w:b w:val="0"/>
          <w:bCs/>
          <w:sz w:val="22"/>
          <w:lang w:eastAsia="ja-JP"/>
        </w:rPr>
        <w:t xml:space="preserve">. </w:t>
      </w:r>
    </w:p>
    <w:p w14:paraId="791D4112" w14:textId="77777777" w:rsidR="00A13331" w:rsidRPr="00A13331" w:rsidRDefault="00A13331" w:rsidP="00A13331">
      <w:pPr>
        <w:jc w:val="both"/>
        <w:rPr>
          <w:rFonts w:eastAsia="Times New Roman"/>
          <w:b w:val="0"/>
          <w:bCs/>
          <w:sz w:val="22"/>
          <w:lang w:eastAsia="ja-JP"/>
        </w:rPr>
      </w:pPr>
      <w:proofErr w:type="spellStart"/>
      <w:r w:rsidRPr="00A13331">
        <w:rPr>
          <w:rFonts w:eastAsia="Times New Roman"/>
          <w:b w:val="0"/>
          <w:bCs/>
          <w:sz w:val="22"/>
          <w:lang w:eastAsia="ja-JP"/>
        </w:rPr>
        <w:t>DataHealth</w:t>
      </w:r>
      <w:proofErr w:type="spellEnd"/>
      <w:r w:rsidRPr="00A13331">
        <w:rPr>
          <w:rFonts w:eastAsia="Times New Roman"/>
          <w:b w:val="0"/>
          <w:bCs/>
          <w:sz w:val="22"/>
          <w:lang w:eastAsia="ja-JP"/>
        </w:rPr>
        <w:t xml:space="preserve"> Interregio ist Teil des Gesamtvorhabens </w:t>
      </w:r>
      <w:hyperlink r:id="rId8" w:history="1">
        <w:r w:rsidRPr="00A13331">
          <w:rPr>
            <w:rStyle w:val="Hyperlink"/>
            <w:rFonts w:eastAsia="Times New Roman"/>
            <w:b w:val="0"/>
            <w:bCs/>
            <w:sz w:val="22"/>
            <w:lang w:eastAsia="ja-JP"/>
          </w:rPr>
          <w:t>Digitale Modellregion Gesundheit Dreiländereck</w:t>
        </w:r>
      </w:hyperlink>
      <w:r w:rsidRPr="00A13331">
        <w:rPr>
          <w:rFonts w:eastAsia="Times New Roman"/>
          <w:b w:val="0"/>
          <w:bCs/>
          <w:sz w:val="22"/>
          <w:lang w:eastAsia="ja-JP"/>
        </w:rPr>
        <w:t xml:space="preserve">. Im Rahmen dieser Initiative sind bereits zahlreiche Kontakte zu Gesundheitsakteuren aus dem Dreiländereck und </w:t>
      </w:r>
      <w:hyperlink r:id="rId9" w:anchor="ankerprojekte" w:history="1">
        <w:r w:rsidRPr="00A13331">
          <w:rPr>
            <w:rStyle w:val="Hyperlink"/>
            <w:rFonts w:eastAsia="Times New Roman"/>
            <w:b w:val="0"/>
            <w:bCs/>
            <w:sz w:val="22"/>
            <w:lang w:eastAsia="ja-JP"/>
          </w:rPr>
          <w:t>Forschungsprojekte zum Thema Digitale Medizin</w:t>
        </w:r>
      </w:hyperlink>
      <w:r w:rsidRPr="00A13331">
        <w:rPr>
          <w:rFonts w:eastAsia="Times New Roman"/>
          <w:b w:val="0"/>
          <w:bCs/>
          <w:sz w:val="22"/>
          <w:lang w:eastAsia="ja-JP"/>
        </w:rPr>
        <w:t xml:space="preserve"> entstanden. Einbezogen in die Modellregion sind aktuell 85 Haus-, Facharzt- und Gemeinschaftspraxen, drei Apotheken und drei Pflege- und Seniorenheime. Im Rahmen des Projekts „</w:t>
      </w:r>
      <w:proofErr w:type="spellStart"/>
      <w:r w:rsidRPr="00A13331">
        <w:rPr>
          <w:rFonts w:eastAsia="Times New Roman"/>
          <w:b w:val="0"/>
          <w:bCs/>
          <w:sz w:val="22"/>
          <w:lang w:eastAsia="ja-JP"/>
        </w:rPr>
        <w:t>DataHealth</w:t>
      </w:r>
      <w:proofErr w:type="spellEnd"/>
      <w:r w:rsidRPr="00A13331">
        <w:rPr>
          <w:rFonts w:eastAsia="Times New Roman"/>
          <w:b w:val="0"/>
          <w:bCs/>
          <w:sz w:val="22"/>
          <w:lang w:eastAsia="ja-JP"/>
        </w:rPr>
        <w:t xml:space="preserve"> Interregio“ wurden nun auch Haus- und Fachärzte aus dem Lahn-Dill-Kreis in Hessen dazu eingeladen, an der DMGD mitzuwirken. Dazu fand ein Kooperationsgespräch über Möglichkeiten der Zusammenarbeit statt. Als Interessenvertreter von Lehrpraxen für die Perspektiven der niedergelassenen Ärzteschaft im Lahn-Dill-Kreis und benachbarten Kreisen nahm </w:t>
      </w:r>
      <w:hyperlink r:id="rId10" w:history="1">
        <w:r w:rsidRPr="00A13331">
          <w:rPr>
            <w:rStyle w:val="Hyperlink"/>
            <w:rFonts w:eastAsia="Times New Roman"/>
            <w:b w:val="0"/>
            <w:bCs/>
            <w:sz w:val="22"/>
            <w:lang w:eastAsia="ja-JP"/>
          </w:rPr>
          <w:t xml:space="preserve">Prof. Dr. med. Joachim </w:t>
        </w:r>
        <w:proofErr w:type="spellStart"/>
        <w:r w:rsidRPr="00A13331">
          <w:rPr>
            <w:rStyle w:val="Hyperlink"/>
            <w:rFonts w:eastAsia="Times New Roman"/>
            <w:b w:val="0"/>
            <w:bCs/>
            <w:sz w:val="22"/>
            <w:lang w:eastAsia="ja-JP"/>
          </w:rPr>
          <w:t>Kreuder</w:t>
        </w:r>
        <w:proofErr w:type="spellEnd"/>
      </w:hyperlink>
      <w:r w:rsidRPr="00A13331">
        <w:rPr>
          <w:rFonts w:eastAsia="Times New Roman"/>
          <w:b w:val="0"/>
          <w:bCs/>
          <w:sz w:val="22"/>
          <w:lang w:eastAsia="ja-JP"/>
        </w:rPr>
        <w:t xml:space="preserve"> teil, der am Universitätsklinikum Gießen das Institut für Primärärztliche Versorgung und Hausärztliche Medizin leitet. </w:t>
      </w:r>
    </w:p>
    <w:p w14:paraId="725648D8" w14:textId="77777777" w:rsidR="00A13331" w:rsidRPr="00A13331" w:rsidRDefault="00A13331" w:rsidP="00A13331">
      <w:pPr>
        <w:spacing w:before="100" w:beforeAutospacing="1" w:after="100" w:afterAutospacing="1"/>
        <w:jc w:val="both"/>
        <w:rPr>
          <w:rFonts w:eastAsia="Times New Roman"/>
          <w:b w:val="0"/>
          <w:bCs/>
          <w:sz w:val="22"/>
          <w:lang w:eastAsia="ja-JP"/>
        </w:rPr>
      </w:pPr>
      <w:r w:rsidRPr="00A13331">
        <w:rPr>
          <w:rFonts w:eastAsia="Times New Roman"/>
          <w:b w:val="0"/>
          <w:bCs/>
          <w:sz w:val="22"/>
          <w:lang w:eastAsia="ja-JP"/>
        </w:rPr>
        <w:t xml:space="preserve">Der Projektleiter der Digitalen Modellregion Gesundheit Dreiländereck und Konsortialführer des Vorhabens </w:t>
      </w:r>
      <w:proofErr w:type="spellStart"/>
      <w:r w:rsidRPr="00A13331">
        <w:rPr>
          <w:rFonts w:eastAsia="Times New Roman"/>
          <w:b w:val="0"/>
          <w:bCs/>
          <w:sz w:val="22"/>
          <w:lang w:eastAsia="ja-JP"/>
        </w:rPr>
        <w:t>DataHealth</w:t>
      </w:r>
      <w:proofErr w:type="spellEnd"/>
      <w:r w:rsidRPr="00A13331">
        <w:rPr>
          <w:rFonts w:eastAsia="Times New Roman"/>
          <w:b w:val="0"/>
          <w:bCs/>
          <w:sz w:val="22"/>
          <w:lang w:eastAsia="ja-JP"/>
        </w:rPr>
        <w:t xml:space="preserve"> Interregio, </w:t>
      </w:r>
      <w:hyperlink r:id="rId11" w:history="1">
        <w:r w:rsidRPr="00A13331">
          <w:rPr>
            <w:rStyle w:val="Hyperlink"/>
            <w:rFonts w:eastAsia="Times New Roman"/>
            <w:b w:val="0"/>
            <w:bCs/>
            <w:sz w:val="22"/>
            <w:lang w:eastAsia="ja-JP"/>
          </w:rPr>
          <w:t>Dr. Olaf Gaus</w:t>
        </w:r>
      </w:hyperlink>
      <w:r w:rsidRPr="00A13331">
        <w:rPr>
          <w:rFonts w:eastAsia="Times New Roman"/>
          <w:b w:val="0"/>
          <w:bCs/>
          <w:sz w:val="22"/>
          <w:lang w:eastAsia="ja-JP"/>
        </w:rPr>
        <w:t xml:space="preserve">, erläuterte den Diskussionsteilnehmern den aktuellen Stand des Konzeptes. Dabei sprach er sich für eine erweiterte Einbindung und Unterstützung der Haus‐ und Fachärzte aus Teilen Hessens, Nordrhein‐Westfalens und Rheinland‐Pfalz für das bundeslandübergreifende Modell aus. Die am Projekt beteiligte Ärzteschaft, so der Vorschlag, würde als Kern der Aktivitäten von ihnen betreuten Patientinnen und Patienten im Fall einer Förderung ein digitales </w:t>
      </w:r>
      <w:proofErr w:type="spellStart"/>
      <w:r w:rsidRPr="00A13331">
        <w:rPr>
          <w:rFonts w:eastAsia="Times New Roman"/>
          <w:b w:val="0"/>
          <w:bCs/>
          <w:sz w:val="22"/>
          <w:lang w:eastAsia="ja-JP"/>
        </w:rPr>
        <w:t>Vitaldatenmonitoring</w:t>
      </w:r>
      <w:proofErr w:type="spellEnd"/>
      <w:r w:rsidRPr="00A13331">
        <w:rPr>
          <w:rFonts w:eastAsia="Times New Roman"/>
          <w:b w:val="0"/>
          <w:bCs/>
          <w:sz w:val="22"/>
          <w:lang w:eastAsia="ja-JP"/>
        </w:rPr>
        <w:t xml:space="preserve"> verschreiben, das zusätzliche Gesundheitsinformationen liefert, wovon alle </w:t>
      </w:r>
      <w:r w:rsidRPr="00A13331">
        <w:rPr>
          <w:rFonts w:eastAsia="Times New Roman"/>
          <w:b w:val="0"/>
          <w:bCs/>
          <w:sz w:val="22"/>
          <w:lang w:eastAsia="ja-JP"/>
        </w:rPr>
        <w:lastRenderedPageBreak/>
        <w:t>Beteiligten im Arzt‐Patienten‐Gespräch profitieren können. Das angestrebte Ziel sei, der Datenmobilität vor der Patientenmobilität den Vorzug zu geben.</w:t>
      </w:r>
    </w:p>
    <w:p w14:paraId="733589AA" w14:textId="77777777" w:rsidR="00A13331" w:rsidRPr="00A13331" w:rsidRDefault="00A13331" w:rsidP="00A13331">
      <w:pPr>
        <w:spacing w:before="100" w:beforeAutospacing="1" w:after="100" w:afterAutospacing="1"/>
        <w:jc w:val="both"/>
        <w:rPr>
          <w:rFonts w:eastAsia="Times New Roman"/>
          <w:b w:val="0"/>
          <w:bCs/>
          <w:sz w:val="22"/>
          <w:lang w:eastAsia="ja-JP"/>
        </w:rPr>
      </w:pPr>
      <w:r w:rsidRPr="00A13331">
        <w:rPr>
          <w:rFonts w:eastAsia="Times New Roman"/>
          <w:b w:val="0"/>
          <w:bCs/>
          <w:sz w:val="22"/>
          <w:lang w:eastAsia="ja-JP"/>
        </w:rPr>
        <w:t xml:space="preserve">Im weiteren Verlauf der Veranstaltung wurde über die konkrete Machbarkeit und Umsetzung des Projekts diskutiert. Prof. Dr. med. Joachim </w:t>
      </w:r>
      <w:proofErr w:type="spellStart"/>
      <w:r w:rsidRPr="00A13331">
        <w:rPr>
          <w:rFonts w:eastAsia="Times New Roman"/>
          <w:b w:val="0"/>
          <w:bCs/>
          <w:sz w:val="22"/>
          <w:lang w:eastAsia="ja-JP"/>
        </w:rPr>
        <w:t>Kreuder</w:t>
      </w:r>
      <w:proofErr w:type="spellEnd"/>
      <w:r w:rsidRPr="00A13331">
        <w:rPr>
          <w:rFonts w:eastAsia="Times New Roman"/>
          <w:b w:val="0"/>
          <w:bCs/>
          <w:sz w:val="22"/>
          <w:lang w:eastAsia="ja-JP"/>
        </w:rPr>
        <w:t xml:space="preserve"> sprach sich für eine Erweiterung der Gespräche aus und lud die Vertreterinnen und Vertreter der DMGD dazu ein, an einer Sitzung mit den Ärztinnen und Ärzten seines Instituts und der Region teilzunehmen. Auch </w:t>
      </w:r>
      <w:hyperlink r:id="rId12" w:history="1">
        <w:r w:rsidRPr="00A13331">
          <w:rPr>
            <w:rStyle w:val="Hyperlink"/>
            <w:rFonts w:eastAsia="Times New Roman"/>
            <w:b w:val="0"/>
            <w:bCs/>
            <w:sz w:val="22"/>
            <w:lang w:eastAsia="ja-JP"/>
          </w:rPr>
          <w:t>Lars Bongartz</w:t>
        </w:r>
      </w:hyperlink>
      <w:r w:rsidRPr="00A13331">
        <w:rPr>
          <w:rFonts w:eastAsia="Times New Roman"/>
          <w:b w:val="0"/>
          <w:bCs/>
          <w:sz w:val="22"/>
          <w:lang w:eastAsia="ja-JP"/>
        </w:rPr>
        <w:t xml:space="preserve"> (Kaufmännische Leitung Landarztnetz Lahn-Dill) äußerte sich positiv zu der Initiative und forderte die Beteiligten dazu auf, mit einem konkreten Plan für eine Zusammenarbeit auf das Landarztnetz Lahn-Dill zuzukommen. </w:t>
      </w:r>
      <w:hyperlink r:id="rId13" w:history="1">
        <w:r w:rsidRPr="00A13331">
          <w:rPr>
            <w:rStyle w:val="Hyperlink"/>
            <w:rFonts w:eastAsia="Times New Roman"/>
            <w:b w:val="0"/>
            <w:bCs/>
            <w:sz w:val="22"/>
            <w:lang w:eastAsia="ja-JP"/>
          </w:rPr>
          <w:t xml:space="preserve">Dr. med. Kaweh </w:t>
        </w:r>
        <w:proofErr w:type="spellStart"/>
        <w:r w:rsidRPr="00A13331">
          <w:rPr>
            <w:rStyle w:val="Hyperlink"/>
            <w:rFonts w:eastAsia="Times New Roman"/>
            <w:b w:val="0"/>
            <w:bCs/>
            <w:sz w:val="22"/>
            <w:lang w:eastAsia="ja-JP"/>
          </w:rPr>
          <w:t>Schayan-Araghi</w:t>
        </w:r>
        <w:proofErr w:type="spellEnd"/>
      </w:hyperlink>
      <w:r w:rsidRPr="00A13331">
        <w:rPr>
          <w:rFonts w:eastAsia="Times New Roman"/>
          <w:b w:val="0"/>
          <w:bCs/>
          <w:sz w:val="22"/>
          <w:lang w:eastAsia="ja-JP"/>
        </w:rPr>
        <w:t xml:space="preserve"> (Ärztlicher Direktor, Gründer, Gesellschafter ARTEMIS Augenkliniken) unterstützt grundsätzlich das Konzept zur Digitalisierung im Gesundheitswesen, wie es im Projektantrag „</w:t>
      </w:r>
      <w:proofErr w:type="spellStart"/>
      <w:r w:rsidRPr="00A13331">
        <w:rPr>
          <w:rFonts w:eastAsia="Times New Roman"/>
          <w:b w:val="0"/>
          <w:bCs/>
          <w:sz w:val="22"/>
          <w:lang w:eastAsia="ja-JP"/>
        </w:rPr>
        <w:t>DataHealth</w:t>
      </w:r>
      <w:proofErr w:type="spellEnd"/>
      <w:r w:rsidRPr="00A13331">
        <w:rPr>
          <w:rFonts w:eastAsia="Times New Roman"/>
          <w:b w:val="0"/>
          <w:bCs/>
          <w:sz w:val="22"/>
          <w:lang w:eastAsia="ja-JP"/>
        </w:rPr>
        <w:t xml:space="preserve"> Interregio“ zum Ausdruck kommt.</w:t>
      </w:r>
    </w:p>
    <w:p w14:paraId="55A814BF" w14:textId="67EF410E" w:rsidR="00B65710" w:rsidRPr="00A13331" w:rsidRDefault="00A13331" w:rsidP="00A13331">
      <w:pPr>
        <w:pStyle w:val="Fliesstext-DMGD"/>
        <w:rPr>
          <w:bCs/>
        </w:rPr>
      </w:pPr>
      <w:r w:rsidRPr="00A13331">
        <w:rPr>
          <w:rFonts w:eastAsia="Times New Roman"/>
          <w:bCs/>
          <w:sz w:val="22"/>
          <w:szCs w:val="22"/>
          <w:lang w:eastAsia="ja-JP"/>
        </w:rPr>
        <w:t xml:space="preserve">„Wir freuen uns sehr, dass wir mit den Praxen und der Hausarztmedizin ins Gespräch kommen“, sagte </w:t>
      </w:r>
      <w:hyperlink r:id="rId14" w:history="1">
        <w:r w:rsidRPr="00A13331">
          <w:rPr>
            <w:rStyle w:val="Hyperlink"/>
            <w:rFonts w:eastAsia="Times New Roman"/>
            <w:bCs/>
            <w:sz w:val="22"/>
            <w:szCs w:val="22"/>
            <w:lang w:eastAsia="ja-JP"/>
          </w:rPr>
          <w:t xml:space="preserve">Prof. Dr. Christoph </w:t>
        </w:r>
        <w:proofErr w:type="spellStart"/>
        <w:r w:rsidRPr="00A13331">
          <w:rPr>
            <w:rStyle w:val="Hyperlink"/>
            <w:rFonts w:eastAsia="Times New Roman"/>
            <w:bCs/>
            <w:sz w:val="22"/>
            <w:szCs w:val="22"/>
            <w:lang w:eastAsia="ja-JP"/>
          </w:rPr>
          <w:t>Strünck</w:t>
        </w:r>
        <w:proofErr w:type="spellEnd"/>
      </w:hyperlink>
      <w:r w:rsidRPr="00A13331">
        <w:rPr>
          <w:rFonts w:eastAsia="Times New Roman"/>
          <w:bCs/>
          <w:sz w:val="22"/>
          <w:szCs w:val="22"/>
          <w:lang w:eastAsia="ja-JP"/>
        </w:rPr>
        <w:t xml:space="preserve"> (Dekan der Lebenswissenschaftlichen Fakultät der Universität Siegen) am Ende des Austauschs. „Gemeinsam wollen wir, ausgehend von der Primärversorgung, in die Fläche schauen. Sowohl im Sinne der Patientinnen und Patienten als auch aus Perspektive der Ärzteschaft kann die Digitalisierung im Gesundheitssystem eine große Chance sein – und deshalb ist es so erfreulich, dass wir uns hier vernetzen und gemeinsam an diesem Projekt arbeiten.“</w:t>
      </w:r>
    </w:p>
    <w:p w14:paraId="2C30C086" w14:textId="77777777" w:rsidR="00B65710" w:rsidRDefault="00B65710">
      <w:pPr>
        <w:pStyle w:val="Fliesstext-DMGD"/>
      </w:pPr>
    </w:p>
    <w:p w14:paraId="6556A60D" w14:textId="77777777" w:rsidR="00B65710" w:rsidRDefault="00B65710">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65710" w14:paraId="28262549" w14:textId="77777777">
        <w:tc>
          <w:tcPr>
            <w:tcW w:w="2098" w:type="dxa"/>
            <w:tcBorders>
              <w:right w:val="single" w:sz="4" w:space="0" w:color="7F7F7F" w:themeColor="text1" w:themeTint="80"/>
            </w:tcBorders>
          </w:tcPr>
          <w:p w14:paraId="482D249A"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Text:</w:t>
            </w:r>
          </w:p>
        </w:tc>
        <w:tc>
          <w:tcPr>
            <w:tcW w:w="7248" w:type="dxa"/>
            <w:tcBorders>
              <w:left w:val="single" w:sz="4" w:space="0" w:color="7F7F7F" w:themeColor="text1" w:themeTint="80"/>
            </w:tcBorders>
          </w:tcPr>
          <w:p w14:paraId="06E206A9" w14:textId="7E9CCE1A" w:rsidR="00B65710" w:rsidRDefault="00A13331">
            <w:pPr>
              <w:pStyle w:val="Fliesstext-DMGD"/>
              <w:rPr>
                <w:color w:val="7F7F7F"/>
              </w:rPr>
            </w:pPr>
            <w:r>
              <w:rPr>
                <w:color w:val="7F7F7F" w:themeColor="text1" w:themeTint="80"/>
              </w:rPr>
              <w:t xml:space="preserve">F. </w:t>
            </w:r>
            <w:proofErr w:type="spellStart"/>
            <w:r>
              <w:rPr>
                <w:color w:val="7F7F7F" w:themeColor="text1" w:themeTint="80"/>
              </w:rPr>
              <w:t>Walsdorff</w:t>
            </w:r>
            <w:proofErr w:type="spellEnd"/>
            <w:r w:rsidR="00A97B1B">
              <w:rPr>
                <w:color w:val="7F7F7F" w:themeColor="text1" w:themeTint="80"/>
              </w:rPr>
              <w:t xml:space="preserve"> (Autorenname)</w:t>
            </w:r>
          </w:p>
        </w:tc>
      </w:tr>
      <w:tr w:rsidR="00B65710" w14:paraId="520651C8" w14:textId="77777777">
        <w:tc>
          <w:tcPr>
            <w:tcW w:w="2098" w:type="dxa"/>
            <w:tcBorders>
              <w:right w:val="single" w:sz="4" w:space="0" w:color="7F7F7F" w:themeColor="text1" w:themeTint="80"/>
            </w:tcBorders>
          </w:tcPr>
          <w:p w14:paraId="5A713B95" w14:textId="77777777" w:rsidR="00B65710" w:rsidRDefault="00A97B1B">
            <w:pPr>
              <w:pStyle w:val="Fliesstext-DMGD"/>
              <w:rPr>
                <w:color w:val="7F7F7F"/>
              </w:rPr>
            </w:pPr>
            <w:proofErr w:type="spellStart"/>
            <w:r>
              <w:rPr>
                <w:color w:val="7F7F7F" w:themeColor="text1" w:themeTint="80"/>
              </w:rPr>
              <w:t>AutorIn</w:t>
            </w:r>
            <w:proofErr w:type="spellEnd"/>
            <w:r>
              <w:rPr>
                <w:color w:val="7F7F7F" w:themeColor="text1" w:themeTint="80"/>
              </w:rPr>
              <w:t xml:space="preserve"> Bild/Foto:</w:t>
            </w:r>
          </w:p>
        </w:tc>
        <w:tc>
          <w:tcPr>
            <w:tcW w:w="7248" w:type="dxa"/>
            <w:tcBorders>
              <w:left w:val="single" w:sz="4" w:space="0" w:color="7F7F7F" w:themeColor="text1" w:themeTint="80"/>
            </w:tcBorders>
          </w:tcPr>
          <w:p w14:paraId="4507A9B5" w14:textId="12EDFA09" w:rsidR="00B65710" w:rsidRDefault="00A13331">
            <w:pPr>
              <w:pStyle w:val="Fliesstext-DMGD"/>
              <w:rPr>
                <w:color w:val="7F7F7F"/>
              </w:rPr>
            </w:pPr>
            <w:r>
              <w:rPr>
                <w:color w:val="7F7F7F" w:themeColor="text1" w:themeTint="80"/>
              </w:rPr>
              <w:t>V. Simon</w:t>
            </w:r>
            <w:r w:rsidR="00A97B1B">
              <w:rPr>
                <w:color w:val="7F7F7F" w:themeColor="text1" w:themeTint="80"/>
              </w:rPr>
              <w:t xml:space="preserve"> (Fotograf)</w:t>
            </w:r>
          </w:p>
        </w:tc>
      </w:tr>
      <w:tr w:rsidR="00B65710" w14:paraId="4D8241E5" w14:textId="77777777">
        <w:tc>
          <w:tcPr>
            <w:tcW w:w="2098" w:type="dxa"/>
            <w:tcBorders>
              <w:right w:val="single" w:sz="4" w:space="0" w:color="7F7F7F" w:themeColor="text1" w:themeTint="80"/>
            </w:tcBorders>
          </w:tcPr>
          <w:p w14:paraId="577C3501" w14:textId="77777777" w:rsidR="00B65710" w:rsidRDefault="00A97B1B">
            <w:pPr>
              <w:pStyle w:val="Fliesstext-DMGD"/>
              <w:rPr>
                <w:color w:val="7F7F7F"/>
              </w:rPr>
            </w:pPr>
            <w:r>
              <w:rPr>
                <w:color w:val="7F7F7F" w:themeColor="text1" w:themeTint="80"/>
              </w:rPr>
              <w:t>Bildtitel:</w:t>
            </w:r>
          </w:p>
        </w:tc>
        <w:tc>
          <w:tcPr>
            <w:tcW w:w="7248" w:type="dxa"/>
            <w:tcBorders>
              <w:left w:val="single" w:sz="4" w:space="0" w:color="7F7F7F" w:themeColor="text1" w:themeTint="80"/>
            </w:tcBorders>
          </w:tcPr>
          <w:p w14:paraId="530A4EEA" w14:textId="60507973" w:rsidR="00B65710" w:rsidRDefault="00A13331">
            <w:pPr>
              <w:pStyle w:val="Fliesstext-DMGD"/>
              <w:rPr>
                <w:color w:val="7F7F7F"/>
              </w:rPr>
            </w:pPr>
            <w:r w:rsidRPr="00A13331">
              <w:rPr>
                <w:color w:val="7F7F7F" w:themeColor="text1" w:themeTint="80"/>
              </w:rPr>
              <w:t>Bei der „Digitalen Modellregion Gesundheit Dreiländereck“ geht es um intersektorale Digitalisierungsansätze, bei denen die hausärztliche Versorgung im Mittelpunkt steht. Um diesen Ansatz länderübergreifend voranzutreiben, entsteht derzeit der Vollantrag</w:t>
            </w:r>
            <w:r>
              <w:rPr>
                <w:color w:val="7F7F7F" w:themeColor="text1" w:themeTint="80"/>
              </w:rPr>
              <w:t xml:space="preserve"> </w:t>
            </w:r>
            <w:r w:rsidRPr="00A13331">
              <w:rPr>
                <w:color w:val="7F7F7F" w:themeColor="text1" w:themeTint="80"/>
              </w:rPr>
              <w:t>„</w:t>
            </w:r>
            <w:proofErr w:type="spellStart"/>
            <w:r w:rsidRPr="00A13331">
              <w:rPr>
                <w:color w:val="7F7F7F" w:themeColor="text1" w:themeTint="80"/>
              </w:rPr>
              <w:t>DataHealth</w:t>
            </w:r>
            <w:proofErr w:type="spellEnd"/>
            <w:r w:rsidRPr="00A13331">
              <w:rPr>
                <w:color w:val="7F7F7F" w:themeColor="text1" w:themeTint="80"/>
              </w:rPr>
              <w:t xml:space="preserve"> Interregio“ beim Innovationsfonds des Gemeinsamen Bundesausschusses, der von allen Beteiligten des Gesprächs unterstützt wurde.</w:t>
            </w:r>
          </w:p>
        </w:tc>
      </w:tr>
    </w:tbl>
    <w:p w14:paraId="1926D4B2" w14:textId="77777777" w:rsidR="00B65710" w:rsidRDefault="00B65710">
      <w:pPr>
        <w:spacing w:line="276" w:lineRule="auto"/>
      </w:pPr>
    </w:p>
    <w:p w14:paraId="01BA76BA" w14:textId="77777777" w:rsidR="00B65710" w:rsidRDefault="00B65710">
      <w:pPr>
        <w:spacing w:line="276" w:lineRule="auto"/>
      </w:pPr>
    </w:p>
    <w:p w14:paraId="69696AAD" w14:textId="77777777" w:rsidR="00B65710" w:rsidRDefault="00A97B1B">
      <w:pPr>
        <w:spacing w:line="276" w:lineRule="auto"/>
      </w:pPr>
      <w:proofErr w:type="spellStart"/>
      <w:r>
        <w:t>ForschungsKollegSiegen</w:t>
      </w:r>
      <w:proofErr w:type="spellEnd"/>
      <w:r>
        <w:br/>
        <w:t xml:space="preserve">Institute for </w:t>
      </w:r>
      <w:proofErr w:type="spellStart"/>
      <w:r>
        <w:t>Advanced</w:t>
      </w:r>
      <w:proofErr w:type="spellEnd"/>
      <w:r>
        <w:t xml:space="preserve"> Study</w:t>
      </w:r>
    </w:p>
    <w:p w14:paraId="0C2E5608" w14:textId="77777777" w:rsidR="00B65710" w:rsidRDefault="00A97B1B">
      <w:pPr>
        <w:pStyle w:val="Fliesstext-DMGD"/>
      </w:pPr>
      <w:r>
        <w:t>Ansprechpartner: Dr. Olaf Gaus</w:t>
      </w:r>
    </w:p>
    <w:p w14:paraId="68A71997" w14:textId="77777777" w:rsidR="00B65710" w:rsidRDefault="00A97B1B">
      <w:pPr>
        <w:pStyle w:val="Fliesstext-DMGD"/>
        <w:tabs>
          <w:tab w:val="left" w:pos="709"/>
        </w:tabs>
      </w:pPr>
      <w:r>
        <w:lastRenderedPageBreak/>
        <w:t>Weidenauer Straße 167</w:t>
      </w:r>
      <w:r>
        <w:br/>
        <w:t>57076 Siegen</w:t>
      </w:r>
    </w:p>
    <w:p w14:paraId="6D8DA7E5" w14:textId="77777777" w:rsidR="00B65710" w:rsidRDefault="00A97B1B">
      <w:pPr>
        <w:pStyle w:val="Fliesstext-DMGD"/>
        <w:tabs>
          <w:tab w:val="left" w:pos="709"/>
        </w:tabs>
      </w:pPr>
      <w:r>
        <w:t>Telefon</w:t>
      </w:r>
      <w:r>
        <w:tab/>
        <w:t>+49 271 740-4988</w:t>
      </w:r>
      <w:r>
        <w:br/>
        <w:t>Fax</w:t>
      </w:r>
      <w:r>
        <w:tab/>
        <w:t>+49 271 740-3859</w:t>
      </w:r>
    </w:p>
    <w:p w14:paraId="6E6EE790" w14:textId="77777777" w:rsidR="00B65710" w:rsidRDefault="00A97B1B">
      <w:pPr>
        <w:pStyle w:val="Fliesstext-DMGD"/>
        <w:tabs>
          <w:tab w:val="left" w:pos="709"/>
        </w:tabs>
      </w:pPr>
      <w:r>
        <w:t>olaf.gaus@uni-siegen.de</w:t>
      </w:r>
      <w:r>
        <w:br/>
        <w:t>www.dmgd.de</w:t>
      </w:r>
    </w:p>
    <w:p w14:paraId="2FB66464" w14:textId="77777777" w:rsidR="00B65710" w:rsidRDefault="00B65710">
      <w:pPr>
        <w:pStyle w:val="Fliesstext-DMGD"/>
        <w:tabs>
          <w:tab w:val="left" w:pos="709"/>
        </w:tabs>
      </w:pPr>
    </w:p>
    <w:p w14:paraId="03362B85" w14:textId="77777777" w:rsidR="00B65710" w:rsidRDefault="00B65710">
      <w:pPr>
        <w:pStyle w:val="Fliesstext-DMGD"/>
        <w:tabs>
          <w:tab w:val="left" w:pos="709"/>
        </w:tabs>
      </w:pPr>
    </w:p>
    <w:p w14:paraId="503042F7" w14:textId="77777777" w:rsidR="00B65710" w:rsidRDefault="00A97B1B">
      <w:pPr>
        <w:rPr>
          <w:sz w:val="26"/>
          <w:szCs w:val="26"/>
        </w:rPr>
      </w:pPr>
      <w:r>
        <w:rPr>
          <w:color w:val="808080" w:themeColor="background1" w:themeShade="80"/>
          <w:spacing w:val="20"/>
          <w:sz w:val="26"/>
          <w:szCs w:val="26"/>
        </w:rPr>
        <w:t>DMGD</w:t>
      </w:r>
    </w:p>
    <w:p w14:paraId="6685D9AB" w14:textId="77777777" w:rsidR="00B65710" w:rsidRDefault="00A97B1B">
      <w:pPr>
        <w:pStyle w:val="Fliesstext-DMGD"/>
      </w:pPr>
      <w:r>
        <w:t>Die Digitale Modellregion Gesundheit Dreiländereck (DMGD) ist ein Gesamtkonzept des Forschungs</w:t>
      </w:r>
      <w:r>
        <w:t>kollegs (</w:t>
      </w:r>
      <w:proofErr w:type="spellStart"/>
      <w:r>
        <w:t>FoKoS</w:t>
      </w:r>
      <w:proofErr w:type="spellEnd"/>
      <w:r>
        <w:t>) und der Lebenswissenschaftlichen Fakultät (LWF) der Universität Siegen. Das Ziel ist der Aufbau einer Datenmedizin zur Entlastung von Akteuren der ländlichen Gesundheitsversorgung im Dreiländereck Rheinland-Pfalz, Hessen und Nordrhein-Westf</w:t>
      </w:r>
      <w:r>
        <w:t>alen. Gemeinsam mit niedergelassenen Ärztinnen und Ärzten, Kliniken und Pflegeeinrichtungen sowie Kreisen und Kommunen werden in Forschungs- und Entwicklungsprojekten digitale Lösungsansätze erprobt, die zur Entwicklung einer Datenmedizin in der sektorenüb</w:t>
      </w:r>
      <w:r>
        <w:t>ergreifen, interprofessionellen Gesundheitsversorgung im ländlichen Raum beitragen sollen. Ein erleichterter Zugang zu digitalen Innovationen durch die Entwicklung digitaler Prozesse und die Vermittlung von Anwendungskompetenzen spielen dabei eine entschei</w:t>
      </w:r>
      <w:r>
        <w:t>dende Rolle.</w:t>
      </w:r>
    </w:p>
    <w:sectPr w:rsidR="00B65710">
      <w:headerReference w:type="default" r:id="rId15"/>
      <w:footerReference w:type="default" r:id="rId16"/>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3903AD" w14:textId="77777777" w:rsidR="00A97B1B" w:rsidRDefault="00A97B1B">
      <w:pPr>
        <w:spacing w:after="0" w:line="240" w:lineRule="auto"/>
      </w:pPr>
      <w:r>
        <w:separator/>
      </w:r>
    </w:p>
  </w:endnote>
  <w:endnote w:type="continuationSeparator" w:id="0">
    <w:p w14:paraId="1D3CCA64" w14:textId="77777777" w:rsidR="00A97B1B" w:rsidRDefault="00A97B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liss 2 Medium">
    <w:altName w:val="bliss 2 medium"/>
    <w:panose1 w:val="02000506030000020004"/>
    <w:charset w:val="00"/>
    <w:family w:val="auto"/>
    <w:pitch w:val="default"/>
  </w:font>
  <w:font w:name="Bliss 2 Light">
    <w:altName w:val="bliss 2 light"/>
    <w:panose1 w:val="02000506030000020004"/>
    <w:charset w:val="00"/>
    <w:family w:val="auto"/>
    <w:notTrueType/>
    <w:pitch w:val="variable"/>
    <w:sig w:usb0="A00000AF" w:usb1="5000204B"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405E7DAF" w14:textId="77777777" w:rsidR="00B65710" w:rsidRDefault="00A97B1B">
        <w:pPr>
          <w:pStyle w:val="Fuzeile"/>
          <w:jc w:val="right"/>
        </w:pPr>
        <w:r>
          <w:rPr>
            <w:rFonts w:ascii="Bliss 2 Light" w:hAnsi="Bliss 2 Light"/>
            <w:noProof/>
          </w:rPr>
          <mc:AlternateContent>
            <mc:Choice Requires="wpg">
              <w:drawing>
                <wp:anchor distT="0" distB="0" distL="114300" distR="114300" simplePos="0" relativeHeight="251661312" behindDoc="1" locked="0" layoutInCell="1" allowOverlap="1" wp14:anchorId="769F9BEB" wp14:editId="642D8C57">
                  <wp:simplePos x="0" y="0"/>
                  <wp:positionH relativeFrom="column">
                    <wp:posOffset>2653030</wp:posOffset>
                  </wp:positionH>
                  <wp:positionV relativeFrom="paragraph">
                    <wp:posOffset>-178435</wp:posOffset>
                  </wp:positionV>
                  <wp:extent cx="1403350" cy="240276"/>
                  <wp:effectExtent l="0" t="0" r="6350" b="7620"/>
                  <wp:wrapNone/>
                  <wp:docPr id="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pic:cNvPicPr>
                            <a:picLocks noChangeAspect="1"/>
                          </pic:cNvPicPr>
                        </pic:nvPicPr>
                        <pic:blipFill>
                          <a:blip r:embed="rId1"/>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mso-wrap-distance-left:9.0pt;mso-wrap-distance-top:0.0pt;mso-wrap-distance-right:9.0pt;mso-wrap-distance-bottom:0.0pt;z-index:-251661312;o:allowoverlap:true;o:allowincell:true;mso-position-horizontal-relative:text;margin-left:208.9pt;mso-position-horizontal:absolute;mso-position-vertical-relative:text;margin-top:-14.0pt;mso-position-vertical:absolute;width:110.5pt;height:18.9pt;">
                  <v:path textboxrect="0,0,0,0"/>
                  <v:imagedata r:id="rId2" o:title=""/>
                </v:shape>
              </w:pict>
            </mc:Fallback>
          </mc:AlternateContent>
        </w:r>
        <w:r>
          <w:rPr>
            <w:rFonts w:ascii="Bliss 2 Light" w:hAnsi="Bliss 2 Light"/>
            <w:noProof/>
          </w:rPr>
          <mc:AlternateContent>
            <mc:Choice Requires="wpg">
              <w:drawing>
                <wp:anchor distT="0" distB="0" distL="114300" distR="114300" simplePos="0" relativeHeight="251660288" behindDoc="1" locked="0" layoutInCell="1" allowOverlap="1" wp14:anchorId="426DDD1E" wp14:editId="0BC896E0">
                  <wp:simplePos x="0" y="0"/>
                  <wp:positionH relativeFrom="column">
                    <wp:posOffset>1319530</wp:posOffset>
                  </wp:positionH>
                  <wp:positionV relativeFrom="paragraph">
                    <wp:posOffset>-231140</wp:posOffset>
                  </wp:positionV>
                  <wp:extent cx="1006640" cy="292735"/>
                  <wp:effectExtent l="0" t="0" r="3175" b="0"/>
                  <wp:wrapNone/>
                  <wp:docPr id="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pic:cNvPicPr>
                        </pic:nvPicPr>
                        <pic:blipFill>
                          <a:blip r:embed="rId3"/>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60288;o:allowoverlap:true;o:allowincell:true;mso-position-horizontal-relative:text;margin-left:103.9pt;mso-position-horizontal:absolute;mso-position-vertical-relative:text;margin-top:-18.2pt;mso-position-vertical:absolute;width:79.3pt;height:23.0pt;">
                  <v:path textboxrect="0,0,0,0"/>
                  <v:imagedata r:id="rId4" o:title=""/>
                </v:shape>
              </w:pict>
            </mc:Fallback>
          </mc:AlternateContent>
        </w:r>
        <w:r>
          <w:rPr>
            <w:rFonts w:ascii="Bliss 2 Light" w:hAnsi="Bliss 2 Light"/>
            <w:noProof/>
          </w:rPr>
          <mc:AlternateContent>
            <mc:Choice Requires="wpg">
              <w:drawing>
                <wp:anchor distT="0" distB="0" distL="114300" distR="114300" simplePos="0" relativeHeight="251659264" behindDoc="1" locked="0" layoutInCell="1" allowOverlap="1" wp14:anchorId="2950D416" wp14:editId="1CE51920">
                  <wp:simplePos x="0" y="0"/>
                  <wp:positionH relativeFrom="margin">
                    <wp:align>left</wp:align>
                  </wp:positionH>
                  <wp:positionV relativeFrom="paragraph">
                    <wp:posOffset>-173990</wp:posOffset>
                  </wp:positionV>
                  <wp:extent cx="997200" cy="237600"/>
                  <wp:effectExtent l="0" t="0" r="0" b="0"/>
                  <wp:wrapNone/>
                  <wp:docPr id="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pic:cNvPicPr>
                            <a:picLocks noChangeAspect="1"/>
                          </pic:cNvPicPr>
                        </pic:nvPicPr>
                        <pic:blipFill>
                          <a:blip r:embed="rId5"/>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251659264;o:allowoverlap:true;o:allowincell:true;mso-position-horizontal-relative:margin;mso-position-horizontal:left;mso-position-vertical-relative:text;margin-top:-13.7pt;mso-position-vertical:absolute;width:78.5pt;height:18.7pt;">
                  <v:path textboxrect="0,0,0,0"/>
                  <v:imagedata r:id="rId6" o:title=""/>
                </v:shape>
              </w:pict>
            </mc:Fallback>
          </mc:AlternateContent>
        </w:r>
        <w:r>
          <w:rPr>
            <w:rFonts w:ascii="Bliss 2 Light" w:hAnsi="Bliss 2 Light"/>
          </w:rPr>
          <w:fldChar w:fldCharType="begin"/>
        </w:r>
        <w:r>
          <w:rPr>
            <w:rFonts w:ascii="Bliss 2 Light" w:hAnsi="Bliss 2 Light"/>
          </w:rPr>
          <w:instrText>PAGE   \* MERGEFORMAT</w:instrText>
        </w:r>
        <w:r>
          <w:rPr>
            <w:rFonts w:ascii="Bliss 2 Light" w:hAnsi="Bliss 2 Light"/>
          </w:rPr>
          <w:fldChar w:fldCharType="separate"/>
        </w:r>
        <w:r>
          <w:rPr>
            <w:rFonts w:ascii="Bliss 2 Light" w:hAnsi="Bliss 2 Light"/>
          </w:rPr>
          <w:t>2</w:t>
        </w:r>
        <w:r>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97A658" w14:textId="77777777" w:rsidR="00A97B1B" w:rsidRDefault="00A97B1B">
      <w:pPr>
        <w:spacing w:after="0" w:line="240" w:lineRule="auto"/>
      </w:pPr>
      <w:r>
        <w:separator/>
      </w:r>
    </w:p>
  </w:footnote>
  <w:footnote w:type="continuationSeparator" w:id="0">
    <w:p w14:paraId="5BA85F22" w14:textId="77777777" w:rsidR="00A97B1B" w:rsidRDefault="00A97B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AF3836" w14:textId="77777777" w:rsidR="00B65710" w:rsidRDefault="00B65710">
    <w:pPr>
      <w:pStyle w:val="Kopfzeile"/>
      <w:rPr>
        <w:sz w:val="154"/>
        <w:szCs w:val="154"/>
      </w:rPr>
    </w:pPr>
  </w:p>
  <w:p w14:paraId="1C0C3DD8" w14:textId="77777777" w:rsidR="00B65710" w:rsidRDefault="00A97B1B">
    <w:pPr>
      <w:pStyle w:val="Kopfzeile"/>
      <w:rPr>
        <w:color w:val="808080"/>
        <w:spacing w:val="20"/>
        <w:sz w:val="26"/>
        <w:szCs w:val="26"/>
      </w:rPr>
    </w:pPr>
    <w:r>
      <w:rPr>
        <w:noProof/>
        <w:color w:val="808080" w:themeColor="background1" w:themeShade="80"/>
        <w:spacing w:val="20"/>
        <w:sz w:val="26"/>
        <w:szCs w:val="26"/>
      </w:rPr>
      <mc:AlternateContent>
        <mc:Choice Requires="wpg">
          <w:drawing>
            <wp:anchor distT="0" distB="0" distL="0" distR="0" simplePos="0" relativeHeight="251658240" behindDoc="1" locked="0" layoutInCell="1" allowOverlap="1" wp14:anchorId="27495FD3" wp14:editId="44EDECBB">
              <wp:simplePos x="0" y="0"/>
              <wp:positionH relativeFrom="margin">
                <wp:align>right</wp:align>
              </wp:positionH>
              <wp:positionV relativeFrom="page">
                <wp:posOffset>360045</wp:posOffset>
              </wp:positionV>
              <wp:extent cx="2448000" cy="1321200"/>
              <wp:effectExtent l="0" t="0" r="0" b="0"/>
              <wp:wrapTight wrapText="bothSides">
                <wp:wrapPolygon edited="1">
                  <wp:start x="0" y="0"/>
                  <wp:lineTo x="0" y="21185"/>
                  <wp:lineTo x="21348" y="21185"/>
                  <wp:lineTo x="21348" y="0"/>
                  <wp:lineTo x="0" y="0"/>
                </wp:wrapPolygon>
              </wp:wrapTight>
              <wp:docPr id="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MG-3LE_Logo.jpg"/>
                      <pic:cNvPicPr>
                        <a:picLocks noChangeAspect="1"/>
                      </pic:cNvPicPr>
                    </pic:nvPicPr>
                    <pic:blipFill>
                      <a:blip r:embed="rId1"/>
                      <a:stretch/>
                    </pic:blipFill>
                    <pic:spPr bwMode="auto">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0.0pt;mso-wrap-distance-top:0.0pt;mso-wrap-distance-right:0.0pt;mso-wrap-distance-bottom:0.0pt;z-index:-251658240;o:allowoverlap:true;o:allowincell:true;mso-position-horizontal-relative:margin;mso-position-horizontal:right;mso-position-vertical-relative:page;margin-top:28.3pt;mso-position-vertical:absolute;width:192.8pt;height:104.0pt;" wrapcoords="0 0 0 98079 98833 98079 98833 0 0 0" stroked="false">
              <v:path textboxrect="0,0,0,0"/>
              <v:imagedata r:id="rId2" o:title=""/>
            </v:shape>
          </w:pict>
        </mc:Fallback>
      </mc:AlternateContent>
    </w:r>
    <w:r>
      <w:rPr>
        <w:color w:val="808080" w:themeColor="background1" w:themeShade="80"/>
        <w:spacing w:val="20"/>
        <w:sz w:val="26"/>
        <w:szCs w:val="26"/>
      </w:rPr>
      <w:t>AKTUELLE 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710"/>
    <w:rsid w:val="00A13331"/>
    <w:rsid w:val="00A97B1B"/>
    <w:rsid w:val="00B657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396880"/>
  <w15:docId w15:val="{D9E4D7D3-9553-1D43-8052-52FEC4824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b/>
      <w:sz w:val="20"/>
    </w:rPr>
  </w:style>
  <w:style w:type="paragraph" w:styleId="berschrift1">
    <w:name w:val="heading 1"/>
    <w:basedOn w:val="Fliesstext-DMGD"/>
    <w:next w:val="Standard"/>
    <w:link w:val="berschrift1Zchn"/>
    <w:uiPriority w:val="9"/>
    <w:qFormat/>
    <w:pPr>
      <w:keepNext/>
      <w:keepLines/>
      <w:spacing w:before="240" w:after="0"/>
      <w:outlineLvl w:val="0"/>
    </w:pPr>
    <w:rPr>
      <w:rFonts w:eastAsia="Calibri Light" w:cs="Calibri Light"/>
      <w:b/>
      <w:sz w:val="32"/>
      <w:szCs w:val="32"/>
    </w:rPr>
  </w:style>
  <w:style w:type="paragraph" w:styleId="berschrift2">
    <w:name w:val="heading 2"/>
    <w:basedOn w:val="Standard"/>
    <w:next w:val="Standard"/>
    <w:link w:val="berschrift2Zchn"/>
    <w:uiPriority w:val="9"/>
    <w:unhideWhenUsed/>
    <w:qFormat/>
    <w:pPr>
      <w:keepNext/>
      <w:keepLines/>
      <w:spacing w:before="40" w:after="0"/>
      <w:outlineLvl w:val="1"/>
    </w:pPr>
    <w:rPr>
      <w:rFonts w:eastAsia="Calibri Light" w:cs="Calibri Light"/>
      <w:sz w:val="24"/>
      <w:szCs w:val="26"/>
    </w:rPr>
  </w:style>
  <w:style w:type="paragraph" w:styleId="berschrift3">
    <w:name w:val="heading 3"/>
    <w:basedOn w:val="Standard"/>
    <w:next w:val="Standard"/>
    <w:link w:val="berschrift3Zchn"/>
    <w:uiPriority w:val="9"/>
    <w:unhideWhenUsed/>
    <w:qFormat/>
    <w:pPr>
      <w:keepNext/>
      <w:keepLines/>
      <w:spacing w:before="40" w:after="0"/>
      <w:outlineLvl w:val="2"/>
    </w:pPr>
    <w:rPr>
      <w:rFonts w:ascii="Calibri Light" w:eastAsia="Calibri Light" w:hAnsi="Calibri Light" w:cs="Calibri Light"/>
      <w:color w:val="1F3763" w:themeColor="accent1" w:themeShade="7F"/>
      <w:sz w:val="24"/>
      <w:szCs w:val="24"/>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Cs/>
      <w:sz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Cs/>
      <w:i/>
      <w:iCs/>
      <w:sz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1" w:themeFillTint="34"/>
      </w:tcPr>
    </w:tblStylePr>
    <w:tblStylePr w:type="band1Horz">
      <w:rPr>
        <w:rFonts w:ascii="Arial" w:hAnsi="Arial"/>
        <w:color w:val="404040"/>
        <w:sz w:val="22"/>
      </w:rPr>
      <w:tblPr/>
      <w:tcPr>
        <w:shd w:val="clear" w:color="FFFFFF"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FFFFFF"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3F3" w:themeFill="accent1" w:themeFillTint="32"/>
      </w:tcPr>
    </w:tblStylePr>
    <w:tblStylePr w:type="band1Horz">
      <w:rPr>
        <w:rFonts w:ascii="Arial" w:hAnsi="Arial"/>
        <w:color w:val="404040"/>
        <w:sz w:val="22"/>
      </w:rPr>
      <w:tblPr/>
      <w:tcPr>
        <w:shd w:val="clear" w:color="FFFFFF"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FFFFFF"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Pr/>
      <w:tcPr>
        <w:shd w:val="clear" w:color="FFFFFF"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1" w:themeFillTint="34"/>
    </w:tblPr>
    <w:tblStylePr w:type="firstRow">
      <w:rPr>
        <w:rFonts w:ascii="Arial" w:hAnsi="Arial"/>
        <w:b/>
        <w:color w:val="FFFFFF"/>
        <w:sz w:val="22"/>
      </w:rPr>
      <w:tblPr/>
      <w:tcPr>
        <w:shd w:val="clear" w:color="FFFFFF" w:fill="4472C4" w:themeFill="accent1"/>
      </w:tcPr>
    </w:tblStylePr>
    <w:tblStylePr w:type="lastRow">
      <w:rPr>
        <w:rFonts w:ascii="Arial" w:hAnsi="Arial"/>
        <w:b/>
        <w:color w:val="FFFFFF"/>
        <w:sz w:val="22"/>
      </w:rPr>
      <w:tblPr/>
      <w:tcPr>
        <w:tcBorders>
          <w:top w:val="single" w:sz="4" w:space="0" w:color="FFFFFF" w:themeColor="light1"/>
        </w:tcBorders>
        <w:shd w:val="clear" w:color="FFFFFF" w:fill="4472C4" w:themeFill="accent1"/>
      </w:tcPr>
    </w:tblStylePr>
    <w:tblStylePr w:type="firstCol">
      <w:rPr>
        <w:rFonts w:ascii="Arial" w:hAnsi="Arial"/>
        <w:b/>
        <w:color w:val="FFFFFF"/>
        <w:sz w:val="22"/>
      </w:rPr>
      <w:tblPr/>
      <w:tcPr>
        <w:shd w:val="clear" w:color="FFFFFF" w:fill="4472C4" w:themeFill="accent1"/>
      </w:tcPr>
    </w:tblStylePr>
    <w:tblStylePr w:type="lastCol">
      <w:rPr>
        <w:rFonts w:ascii="Arial" w:hAnsi="Arial"/>
        <w:b/>
        <w:color w:val="FFFFFF"/>
        <w:sz w:val="22"/>
      </w:rPr>
      <w:tblPr/>
      <w:tcPr>
        <w:shd w:val="clear" w:color="FFFFFF" w:fill="4472C4" w:themeFill="accent1"/>
      </w:tcPr>
    </w:tblStylePr>
    <w:tblStylePr w:type="band1Vert">
      <w:tblPr/>
      <w:tcPr>
        <w:shd w:val="clear" w:color="FFFFFF" w:fill="A9BEE4" w:themeFill="accent1" w:themeFillTint="75"/>
      </w:tcPr>
    </w:tblStylePr>
    <w:tblStylePr w:type="band1Horz">
      <w:tblPr/>
      <w:tcPr>
        <w:shd w:val="clear" w:color="FFFFFF"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5" w:themeFillTint="34"/>
    </w:tblPr>
    <w:tblStylePr w:type="firstRow">
      <w:rPr>
        <w:rFonts w:ascii="Arial" w:hAnsi="Arial"/>
        <w:b/>
        <w:color w:val="FFFFFF"/>
        <w:sz w:val="22"/>
      </w:rPr>
      <w:tblPr/>
      <w:tcPr>
        <w:shd w:val="clear" w:color="FFFFFF" w:fill="5B9BD5" w:themeFill="accent5"/>
      </w:tcPr>
    </w:tblStylePr>
    <w:tblStylePr w:type="lastRow">
      <w:rPr>
        <w:rFonts w:ascii="Arial" w:hAnsi="Arial"/>
        <w:b/>
        <w:color w:val="FFFFFF"/>
        <w:sz w:val="22"/>
      </w:rPr>
      <w:tblPr/>
      <w:tcPr>
        <w:tcBorders>
          <w:top w:val="single" w:sz="4" w:space="0" w:color="FFFFFF" w:themeColor="light1"/>
        </w:tcBorders>
        <w:shd w:val="clear" w:color="FFFFFF" w:fill="5B9BD5" w:themeFill="accent5"/>
      </w:tcPr>
    </w:tblStylePr>
    <w:tblStylePr w:type="firstCol">
      <w:rPr>
        <w:rFonts w:ascii="Arial" w:hAnsi="Arial"/>
        <w:b/>
        <w:color w:val="FFFFFF"/>
        <w:sz w:val="22"/>
      </w:rPr>
      <w:tblPr/>
      <w:tcPr>
        <w:shd w:val="clear" w:color="FFFFFF" w:fill="5B9BD5" w:themeFill="accent5"/>
      </w:tcPr>
    </w:tblStylePr>
    <w:tblStylePr w:type="lastCol">
      <w:rPr>
        <w:rFonts w:ascii="Arial" w:hAnsi="Arial"/>
        <w:b/>
        <w:color w:val="FFFFFF"/>
        <w:sz w:val="22"/>
      </w:rPr>
      <w:tblPr/>
      <w:tcPr>
        <w:shd w:val="clear" w:color="FFFFFF" w:fill="5B9BD5" w:themeFill="accent5"/>
      </w:tcPr>
    </w:tblStylePr>
    <w:tblStylePr w:type="band1Vert">
      <w:tblPr/>
      <w:tcPr>
        <w:shd w:val="clear" w:color="FFFFFF" w:fill="B3D0EB" w:themeFill="accent5" w:themeFillTint="75"/>
      </w:tcPr>
    </w:tblStylePr>
    <w:tblStylePr w:type="band1Horz">
      <w:tblPr/>
      <w:tcPr>
        <w:shd w:val="clear" w:color="FFFFFF"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FFFFFF" w:fill="E1EFD8" w:themeFill="accent6" w:themeFillTint="34"/>
      </w:tcPr>
    </w:tblStylePr>
    <w:tblStylePr w:type="band1Horz">
      <w:rPr>
        <w:rFonts w:ascii="Arial" w:hAnsi="Arial"/>
        <w:color w:val="245A8D" w:themeColor="accent5" w:themeShade="95"/>
        <w:sz w:val="22"/>
      </w:rPr>
      <w:tblPr/>
      <w:tcPr>
        <w:shd w:val="clear" w:color="FFFFFF"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FFFFFF" w:fill="FFFFFF"/>
      </w:tcPr>
    </w:tblStylePr>
    <w:tblStylePr w:type="band1Vert">
      <w:tblPr/>
      <w:tcPr>
        <w:shd w:val="clear" w:color="FFFFFF" w:fill="D8E2F3" w:themeFill="accent1" w:themeFillTint="34"/>
      </w:tcPr>
    </w:tblStylePr>
    <w:tblStylePr w:type="band1Horz">
      <w:rPr>
        <w:rFonts w:ascii="Arial" w:hAnsi="Arial"/>
        <w:color w:val="A0B7E1" w:themeColor="accent1" w:themeTint="80" w:themeShade="95"/>
        <w:sz w:val="22"/>
      </w:rPr>
      <w:tblPr/>
      <w:tcPr>
        <w:shd w:val="clear" w:color="FFFFFF"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FFFFFF" w:fill="FFFFFF"/>
      </w:tcPr>
    </w:tblStylePr>
    <w:tblStylePr w:type="band1Vert">
      <w:tblPr/>
      <w:tcPr>
        <w:shd w:val="clear" w:color="FFFFFF" w:fill="DDEAF6" w:themeFill="accent5" w:themeFillTint="34"/>
      </w:tcPr>
    </w:tblStylePr>
    <w:tblStylePr w:type="band1Horz">
      <w:rPr>
        <w:rFonts w:ascii="Arial" w:hAnsi="Arial"/>
        <w:color w:val="245A8D" w:themeColor="accent5" w:themeShade="95"/>
        <w:sz w:val="22"/>
      </w:rPr>
      <w:tblPr/>
      <w:tcPr>
        <w:shd w:val="clear" w:color="FFFFFF"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1" w:themeFillTint="40"/>
      </w:tcPr>
    </w:tblStylePr>
    <w:tblStylePr w:type="band1Horz">
      <w:tblPr/>
      <w:tcPr>
        <w:shd w:val="clear" w:color="FFFFFF"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5" w:themeFillTint="40"/>
      </w:tcPr>
    </w:tblStylePr>
    <w:tblStylePr w:type="band1Horz">
      <w:tblPr/>
      <w:tcPr>
        <w:shd w:val="clear" w:color="FFFFFF"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FFFFFF"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FFFFFF"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1" w:themeFillTint="40"/>
      </w:tcPr>
    </w:tblStylePr>
    <w:tblStylePr w:type="band1Horz">
      <w:rPr>
        <w:rFonts w:ascii="Arial" w:hAnsi="Arial"/>
        <w:color w:val="404040"/>
        <w:sz w:val="22"/>
      </w:rPr>
      <w:tblPr/>
      <w:tcPr>
        <w:shd w:val="clear" w:color="FFFFFF"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FFFFFF"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5" w:themeFillTint="40"/>
      </w:tcPr>
    </w:tblStylePr>
    <w:tblStylePr w:type="band1Horz">
      <w:rPr>
        <w:rFonts w:ascii="Arial" w:hAnsi="Arial"/>
        <w:color w:val="404040"/>
        <w:sz w:val="22"/>
      </w:rPr>
      <w:tblPr/>
      <w:tcPr>
        <w:shd w:val="clear" w:color="FFFFFF"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FFFFFF"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FFFFFF"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FFFFFF"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472C4" w:themeFill="accent1"/>
      </w:tcPr>
    </w:tblStylePr>
    <w:tblStylePr w:type="band2Horz">
      <w:tblPr/>
      <w:tcPr>
        <w:tcBorders>
          <w:top w:val="single" w:sz="4" w:space="0" w:color="FFFFFF" w:themeColor="light1"/>
          <w:bottom w:val="single" w:sz="4" w:space="0" w:color="FFFFFF" w:themeColor="light1"/>
        </w:tcBorders>
        <w:shd w:val="clear" w:color="FFFFFF"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FFFFFF"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FFFFFF"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BC2E5" w:themeFill="accent5" w:themeFillTint="9A"/>
      </w:tcPr>
    </w:tblStylePr>
    <w:tblStylePr w:type="band2Horz">
      <w:tblPr/>
      <w:tcPr>
        <w:tcBorders>
          <w:top w:val="single" w:sz="4" w:space="0" w:color="FFFFFF" w:themeColor="light1"/>
          <w:bottom w:val="single" w:sz="4" w:space="0" w:color="FFFFFF" w:themeColor="light1"/>
        </w:tcBorders>
        <w:shd w:val="clear" w:color="FFFFFF"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FFFFFF" w:fill="FFFFFF"/>
      </w:tcPr>
    </w:tblStylePr>
    <w:tblStylePr w:type="band1Vert">
      <w:tblPr/>
      <w:tcPr>
        <w:shd w:val="clear" w:color="FFFFFF" w:fill="CFDBF0" w:themeFill="accent1" w:themeFillTint="40"/>
      </w:tcPr>
    </w:tblStylePr>
    <w:tblStylePr w:type="band1Horz">
      <w:rPr>
        <w:rFonts w:ascii="Arial" w:hAnsi="Arial"/>
        <w:color w:val="254175" w:themeColor="accent1" w:themeShade="95"/>
        <w:sz w:val="22"/>
      </w:rPr>
      <w:tblPr/>
      <w:tcPr>
        <w:shd w:val="clear" w:color="FFFFFF"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FFFFFF" w:fill="FFFFFF"/>
      </w:tcPr>
    </w:tblStylePr>
    <w:tblStylePr w:type="band1Vert">
      <w:tblPr/>
      <w:tcPr>
        <w:shd w:val="clear" w:color="FFFFFF" w:fill="D5E5F4" w:themeFill="accent5" w:themeFillTint="40"/>
      </w:tcPr>
    </w:tblStylePr>
    <w:tblStylePr w:type="band1Horz">
      <w:rPr>
        <w:rFonts w:ascii="Arial" w:hAnsi="Arial"/>
        <w:color w:val="9BC2E5" w:themeColor="accent5" w:themeTint="9A" w:themeShade="95"/>
        <w:sz w:val="22"/>
      </w:rPr>
      <w:tblPr/>
      <w:tcPr>
        <w:shd w:val="clear" w:color="FFFFFF"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ja-JP"/>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ja-JP"/>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ja-JP"/>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FFFFFF" w:fill="537DC8" w:themeFill="accent1" w:themeFillTint="EA"/>
      </w:tcPr>
    </w:tblStylePr>
    <w:tblStylePr w:type="lastRow">
      <w:rPr>
        <w:rFonts w:ascii="Arial" w:hAnsi="Arial"/>
        <w:color w:val="F2F2F2"/>
        <w:sz w:val="22"/>
      </w:rPr>
      <w:tblPr/>
      <w:tcPr>
        <w:shd w:val="clear" w:color="FFFFFF" w:fill="537DC8" w:themeFill="accent1" w:themeFillTint="EA"/>
      </w:tcPr>
    </w:tblStylePr>
    <w:tblStylePr w:type="firstCol">
      <w:rPr>
        <w:rFonts w:ascii="Arial" w:hAnsi="Arial"/>
        <w:color w:val="F2F2F2"/>
        <w:sz w:val="22"/>
      </w:rPr>
      <w:tblPr/>
      <w:tcPr>
        <w:shd w:val="clear" w:color="FFFFFF" w:fill="537DC8" w:themeFill="accent1" w:themeFillTint="EA"/>
      </w:tcPr>
    </w:tblStylePr>
    <w:tblStylePr w:type="lastCol">
      <w:rPr>
        <w:rFonts w:ascii="Arial" w:hAnsi="Arial"/>
        <w:color w:val="F2F2F2"/>
        <w:sz w:val="22"/>
      </w:rPr>
      <w:tblPr/>
      <w:tcPr>
        <w:shd w:val="clear" w:color="FFFFFF"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ja-JP"/>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ja-JP"/>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ja-JP"/>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ja-JP"/>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FFFFFF" w:fill="5B9BD5" w:themeFill="accent5"/>
      </w:tcPr>
    </w:tblStylePr>
    <w:tblStylePr w:type="lastRow">
      <w:rPr>
        <w:rFonts w:ascii="Arial" w:hAnsi="Arial"/>
        <w:color w:val="F2F2F2"/>
        <w:sz w:val="22"/>
      </w:rPr>
      <w:tblPr/>
      <w:tcPr>
        <w:shd w:val="clear" w:color="FFFFFF" w:fill="5B9BD5" w:themeFill="accent5"/>
      </w:tcPr>
    </w:tblStylePr>
    <w:tblStylePr w:type="firstCol">
      <w:rPr>
        <w:rFonts w:ascii="Arial" w:hAnsi="Arial"/>
        <w:color w:val="F2F2F2"/>
        <w:sz w:val="22"/>
      </w:rPr>
      <w:tblPr/>
      <w:tcPr>
        <w:shd w:val="clear" w:color="FFFFFF" w:fill="5B9BD5" w:themeFill="accent5"/>
      </w:tcPr>
    </w:tblStylePr>
    <w:tblStylePr w:type="lastCol">
      <w:rPr>
        <w:rFonts w:ascii="Arial" w:hAnsi="Arial"/>
        <w:color w:val="F2F2F2"/>
        <w:sz w:val="22"/>
      </w:rPr>
      <w:tblPr/>
      <w:tcPr>
        <w:shd w:val="clear" w:color="FFFFFF"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ja-JP"/>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1Zchn">
    <w:name w:val="Überschrift 1 Zchn"/>
    <w:basedOn w:val="Absatz-Standardschriftart"/>
    <w:link w:val="berschrift1"/>
    <w:uiPriority w:val="9"/>
    <w:rPr>
      <w:rFonts w:ascii="Calibri" w:eastAsia="Calibri Light" w:hAnsi="Calibri" w:cs="Calibri Light"/>
      <w:b/>
      <w:sz w:val="32"/>
      <w:szCs w:val="32"/>
    </w:rPr>
  </w:style>
  <w:style w:type="character" w:customStyle="1" w:styleId="berschrift2Zchn">
    <w:name w:val="Überschrift 2 Zchn"/>
    <w:basedOn w:val="Absatz-Standardschriftart"/>
    <w:link w:val="berschrift2"/>
    <w:uiPriority w:val="9"/>
    <w:rPr>
      <w:rFonts w:ascii="Calibri" w:eastAsia="Calibri Light" w:hAnsi="Calibri" w:cs="Calibri Light"/>
      <w:b/>
      <w:sz w:val="24"/>
      <w:szCs w:val="26"/>
    </w:rPr>
  </w:style>
  <w:style w:type="paragraph" w:customStyle="1" w:styleId="Fliesstext-DMGD">
    <w:name w:val="Fliesstext-DMGD"/>
    <w:basedOn w:val="Standard"/>
    <w:link w:val="Fliesstext-DMGDZchn"/>
    <w:qFormat/>
    <w:pPr>
      <w:spacing w:line="276" w:lineRule="auto"/>
    </w:pPr>
    <w:rPr>
      <w:b w:val="0"/>
      <w:szCs w:val="20"/>
    </w:rPr>
  </w:style>
  <w:style w:type="character" w:styleId="Hyperlink">
    <w:name w:val="Hyperlink"/>
    <w:basedOn w:val="Absatz-Standardschriftart"/>
    <w:uiPriority w:val="99"/>
    <w:unhideWhenUsed/>
    <w:rPr>
      <w:color w:val="0563C1" w:themeColor="hyperlink"/>
      <w:u w:val="single"/>
    </w:rPr>
  </w:style>
  <w:style w:type="character" w:customStyle="1" w:styleId="Fliesstext-DMGDZchn">
    <w:name w:val="Fliesstext-DMGD Zchn"/>
    <w:basedOn w:val="Absatz-Standardschriftart"/>
    <w:link w:val="Fliesstext-DMGD"/>
    <w:rPr>
      <w:rFonts w:ascii="Calibri" w:hAnsi="Calibri"/>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Pr>
      <w:rFonts w:ascii="Calibri Light" w:eastAsia="Calibri Light" w:hAnsi="Calibri Light" w:cs="Calibri Light"/>
      <w:color w:val="1F3763" w:themeColor="accent1" w:themeShade="7F"/>
      <w:sz w:val="24"/>
      <w:szCs w:val="24"/>
    </w:rPr>
  </w:style>
  <w:style w:type="paragraph" w:styleId="Sprechblasentext">
    <w:name w:val="Balloon Text"/>
    <w:basedOn w:val="Standard"/>
    <w:link w:val="SprechblasentextZchn"/>
    <w:uiPriority w:val="99"/>
    <w:semiHidden/>
    <w:unhideWhenUsed/>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dmgd.de/" TargetMode="External"/><Relationship Id="rId13" Type="http://schemas.openxmlformats.org/officeDocument/2006/relationships/hyperlink" Target="https://www.artemiskliniken.de/Artemis/Management/"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fokos.de/2021/01/12/innovationsfonds-vollantrag/" TargetMode="External"/><Relationship Id="rId12" Type="http://schemas.openxmlformats.org/officeDocument/2006/relationships/hyperlink" Target="https://www.landarztnetz.de/ansprechpartner/"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fokos.de/2020/08/25/datahealth-interregio/" TargetMode="External"/><Relationship Id="rId11" Type="http://schemas.openxmlformats.org/officeDocument/2006/relationships/hyperlink" Target="https://fokos.de/personal/dr-olaf-gaus/" TargetMode="External"/><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hyperlink" Target="https://www.ukgm.de/ugm_2/deu/ugi_kik/ugi_kik_team.php?id=172" TargetMode="External"/><Relationship Id="rId4" Type="http://schemas.openxmlformats.org/officeDocument/2006/relationships/footnotes" Target="footnotes.xml"/><Relationship Id="rId9" Type="http://schemas.openxmlformats.org/officeDocument/2006/relationships/hyperlink" Target="https://fokos.de/digitale-modellregion-gesundheit-dreilaendereck/" TargetMode="External"/><Relationship Id="rId14" Type="http://schemas.openxmlformats.org/officeDocument/2006/relationships/hyperlink" Target="https://www.uni-siegen.de/lwf/start/dekanat/?lang=d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jpg"/><Relationship Id="rId1" Type="http://schemas.openxmlformats.org/officeDocument/2006/relationships/image" Target="media/image2.jpg"/><Relationship Id="rId6" Type="http://schemas.openxmlformats.org/officeDocument/2006/relationships/image" Target="media/image40.jpg"/><Relationship Id="rId5" Type="http://schemas.openxmlformats.org/officeDocument/2006/relationships/image" Target="media/image4.jpg"/><Relationship Id="rId4" Type="http://schemas.openxmlformats.org/officeDocument/2006/relationships/image" Target="media/image30.jpg"/></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868</Words>
  <Characters>5470</Characters>
  <Application>Microsoft Office Word</Application>
  <DocSecurity>0</DocSecurity>
  <Lines>45</Lines>
  <Paragraphs>12</Paragraphs>
  <ScaleCrop>false</ScaleCrop>
  <Company/>
  <LinksUpToDate>false</LinksUpToDate>
  <CharactersWithSpaces>6326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Finja</cp:lastModifiedBy>
  <cp:revision>5</cp:revision>
  <dcterms:created xsi:type="dcterms:W3CDTF">2020-04-08T14:31:00Z</dcterms:created>
  <dcterms:modified xsi:type="dcterms:W3CDTF">2021-03-15T12:53:00Z</dcterms:modified>
</cp:coreProperties>
</file>